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A8041A">
      <w:pPr>
        <w:pBdr>
          <w:bottom w:val="single" w:color="1F3864" w:sz="8" w:space="8"/>
        </w:pBdr>
        <w:spacing w:after="200"/>
        <w:jc w:val="center"/>
      </w:pPr>
      <w:r>
        <w:rPr>
          <w:b/>
          <w:bCs/>
          <w:color w:val="1F3864"/>
          <w:sz w:val="34"/>
          <w:szCs w:val="34"/>
        </w:rPr>
        <w:t>TERMS OF REFERENCE</w:t>
      </w:r>
    </w:p>
    <w:p w14:paraId="28B24C89">
      <w:pPr>
        <w:spacing w:after="40"/>
        <w:jc w:val="center"/>
      </w:pPr>
      <w:r>
        <w:rPr>
          <w:b/>
          <w:bCs/>
          <w:sz w:val="30"/>
          <w:szCs w:val="30"/>
        </w:rPr>
        <w:t>Project Manager</w:t>
      </w:r>
    </w:p>
    <w:p w14:paraId="5B2EFD9B">
      <w:pPr>
        <w:spacing w:after="20"/>
        <w:jc w:val="center"/>
      </w:pPr>
      <w:r>
        <w:rPr>
          <w:color w:val="555555"/>
          <w:sz w:val="24"/>
          <w:szCs w:val="24"/>
        </w:rPr>
        <w:t>Vocational Training Centre Bumthang (VTCB)</w:t>
      </w:r>
    </w:p>
    <w:p w14:paraId="34C41B58">
      <w:pPr>
        <w:spacing w:after="300"/>
        <w:jc w:val="center"/>
      </w:pPr>
    </w:p>
    <w:tbl>
      <w:tblPr>
        <w:tblStyle w:val="9"/>
        <w:tblW w:w="90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2600"/>
        <w:gridCol w:w="6426"/>
      </w:tblGrid>
      <w:tr w14:paraId="1B3B1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600"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tcPr>
          <w:p w14:paraId="0F06982A">
            <w:r>
              <w:rPr>
                <w:b/>
                <w:sz w:val="19"/>
              </w:rPr>
              <w:t>Position Title</w:t>
            </w:r>
          </w:p>
        </w:tc>
        <w:tc>
          <w:tcPr>
            <w:tcW w:w="6426"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B08305E">
            <w:r>
              <w:rPr>
                <w:sz w:val="20"/>
              </w:rPr>
              <w:t>Project Manager (PM), VTCB</w:t>
            </w:r>
          </w:p>
        </w:tc>
      </w:tr>
      <w:tr w14:paraId="1F0E1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600"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tcPr>
          <w:p w14:paraId="543446F6">
            <w:r>
              <w:rPr>
                <w:b/>
                <w:sz w:val="19"/>
              </w:rPr>
              <w:t>Employer</w:t>
            </w:r>
          </w:p>
        </w:tc>
        <w:tc>
          <w:tcPr>
            <w:tcW w:w="6426"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749329C6">
            <w:r>
              <w:rPr>
                <w:sz w:val="20"/>
              </w:rPr>
              <w:t>RENEW (Respect, Educate, Nurture &amp; Empower Women)</w:t>
            </w:r>
          </w:p>
        </w:tc>
      </w:tr>
      <w:tr w14:paraId="76446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600"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tcPr>
          <w:p w14:paraId="4CB68C09">
            <w:r>
              <w:rPr>
                <w:b/>
                <w:sz w:val="19"/>
              </w:rPr>
              <w:t>Contract Type</w:t>
            </w:r>
          </w:p>
        </w:tc>
        <w:tc>
          <w:tcPr>
            <w:tcW w:w="6426"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12271FE5">
            <w:r>
              <w:rPr>
                <w:sz w:val="20"/>
              </w:rPr>
              <w:t>Fixed-term RENEW staff appointment (donor-funded)</w:t>
            </w:r>
          </w:p>
        </w:tc>
      </w:tr>
      <w:tr w14:paraId="45A01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600"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tcPr>
          <w:p w14:paraId="01FF59E1">
            <w:r>
              <w:rPr>
                <w:b/>
                <w:sz w:val="19"/>
              </w:rPr>
              <w:t>Duration</w:t>
            </w:r>
          </w:p>
        </w:tc>
        <w:tc>
          <w:tcPr>
            <w:tcW w:w="6426"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C27BD5E">
            <w:r>
              <w:rPr>
                <w:sz w:val="20"/>
                <w:szCs w:val="20"/>
              </w:rPr>
              <w:t>24 months, with the possibility of an extension for a further six months, subject to project requirements</w:t>
            </w:r>
          </w:p>
        </w:tc>
      </w:tr>
      <w:tr w14:paraId="5D329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600"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tcPr>
          <w:p w14:paraId="5B989491">
            <w:r>
              <w:rPr>
                <w:b/>
                <w:sz w:val="19"/>
              </w:rPr>
              <w:t>Target Start</w:t>
            </w:r>
          </w:p>
        </w:tc>
        <w:tc>
          <w:tcPr>
            <w:tcW w:w="6426"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07887238">
            <w:r>
              <w:rPr>
                <w:sz w:val="20"/>
              </w:rPr>
              <w:t xml:space="preserve">As soon as possible </w:t>
            </w:r>
          </w:p>
        </w:tc>
      </w:tr>
      <w:tr w14:paraId="50F0E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600"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tcPr>
          <w:p w14:paraId="18928545">
            <w:r>
              <w:rPr>
                <w:b/>
                <w:sz w:val="19"/>
              </w:rPr>
              <w:t>Duty Station</w:t>
            </w:r>
          </w:p>
        </w:tc>
        <w:tc>
          <w:tcPr>
            <w:tcW w:w="6426"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480F6103">
            <w:r>
              <w:rPr>
                <w:sz w:val="20"/>
              </w:rPr>
              <w:t xml:space="preserve">Thimphu (RENEW Headquarters), with frequent travel to Bumthang </w:t>
            </w:r>
          </w:p>
        </w:tc>
      </w:tr>
      <w:tr w14:paraId="26527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2600"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tcPr>
          <w:p w14:paraId="11098BBB">
            <w:r>
              <w:rPr>
                <w:b/>
                <w:sz w:val="19"/>
              </w:rPr>
              <w:t>Reporting and Governance</w:t>
            </w:r>
          </w:p>
        </w:tc>
        <w:tc>
          <w:tcPr>
            <w:tcW w:w="6426" w:type="dxa"/>
            <w:tcBorders>
              <w:top w:val="single" w:color="AAAAAA" w:sz="0" w:space="0"/>
              <w:left w:val="single" w:color="AAAAAA" w:sz="0" w:space="0"/>
              <w:bottom w:val="single" w:color="AAAAAA" w:sz="0" w:space="0"/>
              <w:right w:val="single" w:color="AAAAAA" w:sz="0" w:space="0"/>
            </w:tcBorders>
            <w:tcMar>
              <w:top w:w="60" w:type="dxa"/>
              <w:left w:w="100" w:type="dxa"/>
              <w:bottom w:w="60" w:type="dxa"/>
              <w:right w:w="100" w:type="dxa"/>
            </w:tcMar>
          </w:tcPr>
          <w:p w14:paraId="36423E08">
            <w:r>
              <w:rPr>
                <w:sz w:val="20"/>
              </w:rPr>
              <w:t>The PM reports administratively to the Executive Director of RENEW. For project governance, progress reporting, key decisions, and escalation, the PM works within the mandate and procedures of the Project Management Group (PMG).</w:t>
            </w:r>
          </w:p>
        </w:tc>
      </w:tr>
    </w:tbl>
    <w:p w14:paraId="34AB795A">
      <w:pPr>
        <w:pStyle w:val="2"/>
        <w:keepNext/>
        <w:spacing w:before="300" w:after="140"/>
      </w:pPr>
      <w:r>
        <w:t>1. Background &amp; Context</w:t>
      </w:r>
    </w:p>
    <w:p w14:paraId="315B3428">
      <w:pPr>
        <w:spacing w:before="80" w:after="80"/>
        <w:jc w:val="both"/>
      </w:pPr>
      <w:r>
        <w:t xml:space="preserve">RENEW with funding and technical support from the PATRIZIA Foundation (PF), the Akelius Foundation (AKF), and the Gyalyum Charitable Trust (GCT), is establishing the Vocational Training Centre Bumthang (VTCB) in Jakar, Bumthang. The VTCB is planned as an inclusive, residential and community-linked TVET campus that will provide market-relevant skills, life skills, and pathways to employment and self-employment, particularly for girls, school dropouts, and vulnerable young people in central Bhutan. Programme formats currently cover participants broadly aged 13-27, with a separate therapeutic residential care facility (“Happy Home”) for up to 20 children. </w:t>
      </w:r>
    </w:p>
    <w:p w14:paraId="12ECC0CB">
      <w:pPr>
        <w:pStyle w:val="2"/>
        <w:keepNext/>
        <w:spacing w:before="300" w:after="140"/>
      </w:pPr>
      <w:r>
        <w:t>2. Purpose of the Role</w:t>
      </w:r>
    </w:p>
    <w:p w14:paraId="6F47E5DE">
      <w:pPr>
        <w:spacing w:before="80" w:after="80"/>
        <w:jc w:val="both"/>
      </w:pPr>
      <w:r>
        <w:t>The Project Manager serves as RENEW’s overall project leader for the VTCB. The PM is the central point of coordination and accountability across construction oversight, programme development, institutional setup, financial sustainability, impact monitoring and evaluation system, stakeholder management, and project administration within RENEW for delivering a fully operational, accredited, and financially sustainable training centre. The PM’s mandate spans five interconnected pillars:</w:t>
      </w:r>
    </w:p>
    <w:tbl>
      <w:tblPr>
        <w:tblStyle w:val="9"/>
        <w:tblW w:w="100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 w:type="dxa"/>
          <w:bottom w:w="0" w:type="dxa"/>
          <w:right w:w="10" w:type="dxa"/>
        </w:tblCellMar>
      </w:tblPr>
      <w:tblGrid>
        <w:gridCol w:w="1984"/>
        <w:gridCol w:w="8080"/>
      </w:tblGrid>
      <w:tr w14:paraId="7DD5F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blHeader/>
        </w:trPr>
        <w:tc>
          <w:tcPr>
            <w:tcW w:w="1984"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vAlign w:val="center"/>
          </w:tcPr>
          <w:p w14:paraId="4570621D">
            <w:r>
              <w:rPr>
                <w:b/>
                <w:sz w:val="19"/>
              </w:rPr>
              <w:t>Pillar</w:t>
            </w:r>
          </w:p>
        </w:tc>
        <w:tc>
          <w:tcPr>
            <w:tcW w:w="8080" w:type="dxa"/>
            <w:tcBorders>
              <w:top w:val="single" w:color="AAAAAA" w:sz="0" w:space="0"/>
              <w:left w:val="single" w:color="AAAAAA" w:sz="0" w:space="0"/>
              <w:bottom w:val="single" w:color="AAAAAA" w:sz="0" w:space="0"/>
              <w:right w:val="single" w:color="AAAAAA" w:sz="0" w:space="0"/>
            </w:tcBorders>
            <w:shd w:val="clear" w:color="auto" w:fill="1F3864" w:themeFill="accent1" w:themeFillShade="80"/>
            <w:tcMar>
              <w:top w:w="60" w:type="dxa"/>
              <w:left w:w="100" w:type="dxa"/>
              <w:bottom w:w="60" w:type="dxa"/>
              <w:right w:w="100" w:type="dxa"/>
            </w:tcMar>
            <w:vAlign w:val="center"/>
          </w:tcPr>
          <w:p w14:paraId="0370DCDD">
            <w:r>
              <w:rPr>
                <w:b/>
                <w:sz w:val="19"/>
              </w:rPr>
              <w:t>PM's Role</w:t>
            </w:r>
          </w:p>
        </w:tc>
      </w:tr>
      <w:tr w14:paraId="289CA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4" w:type="dxa"/>
            <w:tcBorders>
              <w:top w:val="single" w:color="AAAAAA" w:sz="0" w:space="0"/>
              <w:left w:val="single" w:color="AAAAAA" w:sz="0" w:space="0"/>
              <w:bottom w:val="single" w:color="AAAAAA" w:sz="0" w:space="0"/>
              <w:right w:val="single" w:color="AAAAAA" w:sz="0" w:space="0"/>
            </w:tcBorders>
            <w:shd w:val="clear" w:color="auto" w:fill="F1F1F1" w:themeFill="background1" w:themeFillShade="F2"/>
            <w:tcMar>
              <w:top w:w="60" w:type="dxa"/>
              <w:left w:w="100" w:type="dxa"/>
              <w:bottom w:w="60" w:type="dxa"/>
              <w:right w:w="100" w:type="dxa"/>
            </w:tcMar>
          </w:tcPr>
          <w:p w14:paraId="1BD5B419">
            <w:r>
              <w:rPr>
                <w:b/>
                <w:sz w:val="20"/>
              </w:rPr>
              <w:t>1. Construction Oversight</w:t>
            </w:r>
          </w:p>
        </w:tc>
        <w:tc>
          <w:tcPr>
            <w:tcW w:w="8080" w:type="dxa"/>
            <w:tcBorders>
              <w:top w:val="single" w:color="AAAAAA" w:sz="0" w:space="0"/>
              <w:left w:val="single" w:color="AAAAAA" w:sz="0" w:space="0"/>
              <w:bottom w:val="single" w:color="AAAAAA" w:sz="0" w:space="0"/>
              <w:right w:val="single" w:color="AAAAAA" w:sz="0" w:space="0"/>
            </w:tcBorders>
            <w:shd w:val="clear" w:color="auto" w:fill="F1F1F1" w:themeFill="background1" w:themeFillShade="F2"/>
            <w:tcMar>
              <w:top w:w="60" w:type="dxa"/>
              <w:left w:w="100" w:type="dxa"/>
              <w:bottom w:w="60" w:type="dxa"/>
              <w:right w:w="100" w:type="dxa"/>
            </w:tcMar>
          </w:tcPr>
          <w:p w14:paraId="706AE431">
            <w:pPr>
              <w:jc w:val="both"/>
              <w:rPr>
                <w:sz w:val="20"/>
                <w:szCs w:val="20"/>
              </w:rPr>
            </w:pPr>
            <w:r>
              <w:rPr>
                <w:sz w:val="20"/>
                <w:szCs w:val="20"/>
              </w:rPr>
              <w:t>Represent RENEW at client-side project-management level; coordinate decisions; monitor and control the overall project budget and implementation schedule; and oversee project delivery based on the Architect Consultant’s technical reports, verification of construction progress and payment recommendations.</w:t>
            </w:r>
          </w:p>
        </w:tc>
      </w:tr>
      <w:tr w14:paraId="27691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4" w:type="dxa"/>
            <w:tcBorders>
              <w:top w:val="single" w:color="AAAAAA" w:sz="0" w:space="0"/>
              <w:left w:val="single" w:color="AAAAAA" w:sz="0" w:space="0"/>
              <w:bottom w:val="single" w:color="AAAAAA" w:sz="0" w:space="0"/>
              <w:right w:val="single" w:color="AAAAAA" w:sz="0" w:space="0"/>
            </w:tcBorders>
            <w:shd w:val="clear" w:color="auto" w:fill="FFFFFF" w:themeFill="background1"/>
            <w:tcMar>
              <w:top w:w="60" w:type="dxa"/>
              <w:left w:w="100" w:type="dxa"/>
              <w:bottom w:w="60" w:type="dxa"/>
              <w:right w:w="100" w:type="dxa"/>
            </w:tcMar>
          </w:tcPr>
          <w:p w14:paraId="4FC12615">
            <w:r>
              <w:rPr>
                <w:b/>
                <w:sz w:val="20"/>
              </w:rPr>
              <w:t>2. Programme Development</w:t>
            </w:r>
          </w:p>
        </w:tc>
        <w:tc>
          <w:tcPr>
            <w:tcW w:w="8080" w:type="dxa"/>
            <w:tcBorders>
              <w:top w:val="single" w:color="AAAAAA" w:sz="0" w:space="0"/>
              <w:left w:val="single" w:color="AAAAAA" w:sz="0" w:space="0"/>
              <w:bottom w:val="single" w:color="AAAAAA" w:sz="0" w:space="0"/>
              <w:right w:val="single" w:color="AAAAAA" w:sz="0" w:space="0"/>
            </w:tcBorders>
            <w:shd w:val="clear" w:color="auto" w:fill="FFFFFF" w:themeFill="background1"/>
            <w:tcMar>
              <w:top w:w="60" w:type="dxa"/>
              <w:left w:w="100" w:type="dxa"/>
              <w:bottom w:w="60" w:type="dxa"/>
              <w:right w:w="100" w:type="dxa"/>
            </w:tcMar>
          </w:tcPr>
          <w:p w14:paraId="3FDEDE41">
            <w:pPr>
              <w:jc w:val="both"/>
            </w:pPr>
            <w:r>
              <w:rPr>
                <w:sz w:val="20"/>
              </w:rPr>
              <w:t>Drive programme timelines, employment-oriented course validation, accreditation, and regulatory processes while coordinating RENEW's programme team and external expertise.</w:t>
            </w:r>
          </w:p>
        </w:tc>
      </w:tr>
      <w:tr w14:paraId="6A35D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4" w:type="dxa"/>
            <w:tcBorders>
              <w:top w:val="single" w:color="AAAAAA" w:sz="0" w:space="0"/>
              <w:left w:val="single" w:color="AAAAAA" w:sz="0" w:space="0"/>
              <w:bottom w:val="single" w:color="AAAAAA" w:sz="0" w:space="0"/>
              <w:right w:val="single" w:color="AAAAAA" w:sz="0" w:space="0"/>
            </w:tcBorders>
            <w:shd w:val="clear" w:color="auto" w:fill="F1F1F1" w:themeFill="background1" w:themeFillShade="F2"/>
            <w:tcMar>
              <w:top w:w="60" w:type="dxa"/>
              <w:left w:w="100" w:type="dxa"/>
              <w:bottom w:w="60" w:type="dxa"/>
              <w:right w:w="100" w:type="dxa"/>
            </w:tcMar>
          </w:tcPr>
          <w:p w14:paraId="6401294B">
            <w:r>
              <w:rPr>
                <w:b/>
                <w:sz w:val="20"/>
              </w:rPr>
              <w:t>3. Institutional Setup and Financial Sustainability</w:t>
            </w:r>
          </w:p>
        </w:tc>
        <w:tc>
          <w:tcPr>
            <w:tcW w:w="8080" w:type="dxa"/>
            <w:tcBorders>
              <w:top w:val="single" w:color="AAAAAA" w:sz="0" w:space="0"/>
              <w:left w:val="single" w:color="AAAAAA" w:sz="0" w:space="0"/>
              <w:bottom w:val="single" w:color="AAAAAA" w:sz="0" w:space="0"/>
              <w:right w:val="single" w:color="AAAAAA" w:sz="0" w:space="0"/>
            </w:tcBorders>
            <w:shd w:val="clear" w:color="auto" w:fill="F1F1F1" w:themeFill="background1" w:themeFillShade="F2"/>
            <w:tcMar>
              <w:top w:w="60" w:type="dxa"/>
              <w:left w:w="100" w:type="dxa"/>
              <w:bottom w:w="60" w:type="dxa"/>
              <w:right w:w="100" w:type="dxa"/>
            </w:tcMar>
          </w:tcPr>
          <w:p w14:paraId="1B9A1F9B">
            <w:r>
              <w:rPr>
                <w:sz w:val="20"/>
              </w:rPr>
              <w:t>Prepare the VTCB for sustainable operation through organisational design, staffing, policies, systems, operational budgeting, income generation, partnerships, and impact measurement.</w:t>
            </w:r>
          </w:p>
        </w:tc>
      </w:tr>
      <w:tr w14:paraId="5EDF9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4" w:type="dxa"/>
            <w:tcBorders>
              <w:top w:val="single" w:color="AAAAAA" w:sz="0" w:space="0"/>
              <w:left w:val="single" w:color="AAAAAA" w:sz="0" w:space="0"/>
              <w:bottom w:val="single" w:color="AAAAAA" w:sz="0" w:space="0"/>
              <w:right w:val="single" w:color="AAAAAA" w:sz="0" w:space="0"/>
            </w:tcBorders>
            <w:shd w:val="clear" w:color="auto" w:fill="FFFFFF" w:themeFill="background1"/>
            <w:tcMar>
              <w:top w:w="60" w:type="dxa"/>
              <w:left w:w="100" w:type="dxa"/>
              <w:bottom w:w="60" w:type="dxa"/>
              <w:right w:w="100" w:type="dxa"/>
            </w:tcMar>
          </w:tcPr>
          <w:p w14:paraId="02BB2C5E">
            <w:r>
              <w:rPr>
                <w:b/>
                <w:sz w:val="20"/>
              </w:rPr>
              <w:t>4. Stakeholder Management</w:t>
            </w:r>
          </w:p>
        </w:tc>
        <w:tc>
          <w:tcPr>
            <w:tcW w:w="8080" w:type="dxa"/>
            <w:tcBorders>
              <w:top w:val="single" w:color="AAAAAA" w:sz="0" w:space="0"/>
              <w:left w:val="single" w:color="AAAAAA" w:sz="0" w:space="0"/>
              <w:bottom w:val="single" w:color="AAAAAA" w:sz="0" w:space="0"/>
              <w:right w:val="single" w:color="AAAAAA" w:sz="0" w:space="0"/>
            </w:tcBorders>
            <w:shd w:val="clear" w:color="auto" w:fill="FFFFFF" w:themeFill="background1"/>
            <w:tcMar>
              <w:top w:w="60" w:type="dxa"/>
              <w:left w:w="100" w:type="dxa"/>
              <w:bottom w:w="60" w:type="dxa"/>
              <w:right w:w="100" w:type="dxa"/>
            </w:tcMar>
          </w:tcPr>
          <w:p w14:paraId="61A1C852">
            <w:pPr>
              <w:jc w:val="both"/>
            </w:pPr>
            <w:r>
              <w:rPr>
                <w:sz w:val="20"/>
              </w:rPr>
              <w:t>Coordinate government, partner, donor, community, and private-sector relationships and represent RENEW within delegated authority.</w:t>
            </w:r>
          </w:p>
        </w:tc>
      </w:tr>
      <w:tr w14:paraId="6B5D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cantSplit/>
        </w:trPr>
        <w:tc>
          <w:tcPr>
            <w:tcW w:w="1984" w:type="dxa"/>
            <w:tcBorders>
              <w:top w:val="single" w:color="AAAAAA" w:sz="0" w:space="0"/>
              <w:left w:val="single" w:color="AAAAAA" w:sz="0" w:space="0"/>
              <w:bottom w:val="single" w:color="AAAAAA" w:sz="0" w:space="0"/>
              <w:right w:val="single" w:color="AAAAAA" w:sz="0" w:space="0"/>
            </w:tcBorders>
            <w:shd w:val="clear" w:color="auto" w:fill="F1F1F1" w:themeFill="background1" w:themeFillShade="F2"/>
            <w:tcMar>
              <w:top w:w="60" w:type="dxa"/>
              <w:left w:w="100" w:type="dxa"/>
              <w:bottom w:w="60" w:type="dxa"/>
              <w:right w:w="100" w:type="dxa"/>
            </w:tcMar>
          </w:tcPr>
          <w:p w14:paraId="168ED825">
            <w:r>
              <w:rPr>
                <w:b/>
                <w:sz w:val="20"/>
              </w:rPr>
              <w:t>5. Project Planning, Administration and Reporting</w:t>
            </w:r>
          </w:p>
        </w:tc>
        <w:tc>
          <w:tcPr>
            <w:tcW w:w="8080" w:type="dxa"/>
            <w:tcBorders>
              <w:top w:val="single" w:color="AAAAAA" w:sz="0" w:space="0"/>
              <w:left w:val="single" w:color="AAAAAA" w:sz="0" w:space="0"/>
              <w:bottom w:val="single" w:color="AAAAAA" w:sz="0" w:space="0"/>
              <w:right w:val="single" w:color="AAAAAA" w:sz="0" w:space="0"/>
            </w:tcBorders>
            <w:shd w:val="clear" w:color="auto" w:fill="F1F1F1" w:themeFill="background1" w:themeFillShade="F2"/>
            <w:tcMar>
              <w:top w:w="60" w:type="dxa"/>
              <w:left w:w="100" w:type="dxa"/>
              <w:bottom w:w="60" w:type="dxa"/>
              <w:right w:w="100" w:type="dxa"/>
            </w:tcMar>
          </w:tcPr>
          <w:p w14:paraId="0106D292">
            <w:r>
              <w:rPr>
                <w:sz w:val="20"/>
              </w:rPr>
              <w:t>Maintain the integrated work plan, budget oversight, donor and management reporting, risk and decision records, audit trail, and PMG secretariat support.</w:t>
            </w:r>
          </w:p>
        </w:tc>
      </w:tr>
    </w:tbl>
    <w:p w14:paraId="7DC8D751">
      <w:pPr>
        <w:pStyle w:val="2"/>
        <w:keepNext/>
      </w:pPr>
      <w:r>
        <w:t>3. Key Responsibilities</w:t>
      </w:r>
    </w:p>
    <w:p w14:paraId="1CF94C0B">
      <w:pPr>
        <w:pStyle w:val="3"/>
        <w:keepNext/>
      </w:pPr>
      <w:r>
        <w:t xml:space="preserve">A. Client-Side Project Management and Construction Oversight </w:t>
      </w:r>
    </w:p>
    <w:p w14:paraId="22E70C8D">
      <w:pPr>
        <w:jc w:val="both"/>
      </w:pPr>
      <w:r>
        <w:t>The PM represents RENEW's interests as Procuring Agency and coordinates timely client decisions. The Architect/Engineering Consultant remains responsible for technical design, continuous construction supervision, measurement, inspection, certification, and the duties of the Engineer under the construction contract.</w:t>
      </w:r>
    </w:p>
    <w:p w14:paraId="2941C134">
      <w:pPr>
        <w:jc w:val="both"/>
      </w:pPr>
    </w:p>
    <w:p w14:paraId="14D94CCD">
      <w:pPr>
        <w:pStyle w:val="24"/>
        <w:numPr>
          <w:ilvl w:val="0"/>
          <w:numId w:val="1"/>
        </w:numPr>
        <w:tabs>
          <w:tab w:val="clear" w:pos="425"/>
        </w:tabs>
        <w:ind w:left="720" w:leftChars="0" w:hanging="360" w:firstLineChars="0"/>
        <w:jc w:val="both"/>
      </w:pPr>
      <w:r>
        <w:t>Represent RENEW in project, design, tender, construction, and handover coordination meetings; coordinate or chair client-side meetings as agreed.</w:t>
      </w:r>
    </w:p>
    <w:p w14:paraId="5347264D">
      <w:pPr>
        <w:pStyle w:val="24"/>
        <w:numPr>
          <w:numId w:val="0"/>
        </w:numPr>
        <w:ind w:left="360" w:leftChars="0"/>
        <w:jc w:val="both"/>
      </w:pPr>
    </w:p>
    <w:p w14:paraId="6F640433">
      <w:pPr>
        <w:pStyle w:val="24"/>
        <w:numPr>
          <w:ilvl w:val="0"/>
          <w:numId w:val="1"/>
        </w:numPr>
        <w:tabs>
          <w:tab w:val="clear" w:pos="425"/>
        </w:tabs>
        <w:ind w:left="720" w:leftChars="0" w:hanging="360" w:firstLineChars="0"/>
        <w:jc w:val="both"/>
      </w:pPr>
      <w:r>
        <w:rPr>
          <w:rFonts w:hint="default"/>
          <w:lang w:val="en-US"/>
        </w:rPr>
        <w:t xml:space="preserve"> </w:t>
      </w:r>
      <w:r>
        <w:t>Monitor progress against the approved schedule, budget, quality, environmental, social, health and safety (ESHS), and permit requirements through the Consultant's reports, management dashboards, and site visits; escalate deviations and required decisions promptly.</w:t>
      </w:r>
    </w:p>
    <w:p w14:paraId="42ADF8C5">
      <w:pPr>
        <w:pStyle w:val="24"/>
        <w:numPr>
          <w:numId w:val="0"/>
        </w:numPr>
        <w:ind w:left="360" w:leftChars="0"/>
        <w:jc w:val="both"/>
      </w:pPr>
    </w:p>
    <w:p w14:paraId="6B020D6A">
      <w:pPr>
        <w:pStyle w:val="24"/>
        <w:numPr>
          <w:ilvl w:val="0"/>
          <w:numId w:val="1"/>
        </w:numPr>
        <w:tabs>
          <w:tab w:val="clear" w:pos="425"/>
        </w:tabs>
        <w:ind w:left="720" w:leftChars="0" w:hanging="360" w:firstLineChars="0"/>
        <w:jc w:val="both"/>
      </w:pPr>
      <w:r>
        <w:rPr>
          <w:rFonts w:hint="default"/>
          <w:lang w:val="en-US"/>
        </w:rPr>
        <w:t xml:space="preserve"> </w:t>
      </w:r>
      <w:r>
        <w:t>Review contractor payment documentation for completeness and consistency, coordinate the required technical certification and payment recommendation by the Architect/Engineering Consultant, and submit the package through RENEW's delegated approval process.</w:t>
      </w:r>
    </w:p>
    <w:p w14:paraId="5851BA2F">
      <w:pPr>
        <w:pStyle w:val="24"/>
        <w:numPr>
          <w:numId w:val="0"/>
        </w:numPr>
        <w:ind w:left="360" w:leftChars="0"/>
        <w:jc w:val="both"/>
      </w:pPr>
    </w:p>
    <w:p w14:paraId="48C98322">
      <w:pPr>
        <w:pStyle w:val="24"/>
        <w:numPr>
          <w:ilvl w:val="0"/>
          <w:numId w:val="1"/>
        </w:numPr>
        <w:tabs>
          <w:tab w:val="clear" w:pos="425"/>
        </w:tabs>
        <w:ind w:left="720" w:leftChars="0" w:hanging="360" w:firstLineChars="0"/>
        <w:jc w:val="both"/>
      </w:pPr>
      <w:r>
        <w:rPr>
          <w:rFonts w:hint="default"/>
          <w:lang w:val="en-US"/>
        </w:rPr>
        <w:t xml:space="preserve"> </w:t>
      </w:r>
      <w:r>
        <w:t>Review the scope, cost, schedule, operational, and programme implications of proposed variations based on the Consultant's technical assessment; coordinate the required RENEW and PMG approvals before instructions are issued under the construction contract.</w:t>
      </w:r>
    </w:p>
    <w:p w14:paraId="0AC1E9AB">
      <w:pPr>
        <w:pStyle w:val="24"/>
        <w:numPr>
          <w:numId w:val="0"/>
        </w:numPr>
        <w:ind w:left="360" w:leftChars="0"/>
        <w:jc w:val="both"/>
      </w:pPr>
    </w:p>
    <w:p w14:paraId="75B89148">
      <w:pPr>
        <w:pStyle w:val="24"/>
        <w:numPr>
          <w:ilvl w:val="0"/>
          <w:numId w:val="1"/>
        </w:numPr>
        <w:tabs>
          <w:tab w:val="clear" w:pos="425"/>
        </w:tabs>
        <w:ind w:left="720" w:leftChars="0" w:hanging="360" w:firstLineChars="0"/>
        <w:jc w:val="both"/>
      </w:pPr>
      <w:r>
        <w:rPr>
          <w:rFonts w:hint="default"/>
          <w:lang w:val="en-US"/>
        </w:rPr>
        <w:t xml:space="preserve"> </w:t>
      </w:r>
      <w:r>
        <w:t>Coordinate RENEW's responsibilities for site preparation, enabling works, permits, access, utilities, and other client inputs required for timely construction commencement.</w:t>
      </w:r>
    </w:p>
    <w:p w14:paraId="402DFA8B">
      <w:pPr>
        <w:pStyle w:val="24"/>
        <w:numPr>
          <w:numId w:val="0"/>
        </w:numPr>
        <w:ind w:left="360" w:leftChars="0"/>
        <w:jc w:val="both"/>
      </w:pPr>
    </w:p>
    <w:p w14:paraId="44AA6081">
      <w:pPr>
        <w:pStyle w:val="24"/>
        <w:numPr>
          <w:ilvl w:val="0"/>
          <w:numId w:val="1"/>
        </w:numPr>
        <w:tabs>
          <w:tab w:val="clear" w:pos="425"/>
        </w:tabs>
        <w:ind w:left="720" w:leftChars="0" w:hanging="360" w:firstLineChars="0"/>
        <w:jc w:val="both"/>
      </w:pPr>
      <w:r>
        <w:rPr>
          <w:rFonts w:hint="default"/>
          <w:lang w:val="en-US"/>
        </w:rPr>
        <w:t xml:space="preserve"> </w:t>
      </w:r>
      <w:r>
        <w:t>Support the works procurement process by consolidating RENEW's requirements, reviewing tender documentation for alignment with the approved brief and budget, participating in bid evaluation within the appropriate client role, and coordinating approval and contract-award decisions.</w:t>
      </w:r>
    </w:p>
    <w:p w14:paraId="0D9AFDAA">
      <w:pPr>
        <w:pStyle w:val="24"/>
        <w:numPr>
          <w:numId w:val="0"/>
        </w:numPr>
        <w:ind w:left="360" w:leftChars="0"/>
        <w:jc w:val="both"/>
      </w:pPr>
    </w:p>
    <w:p w14:paraId="57451DB0">
      <w:pPr>
        <w:pStyle w:val="24"/>
        <w:numPr>
          <w:ilvl w:val="0"/>
          <w:numId w:val="1"/>
        </w:numPr>
        <w:tabs>
          <w:tab w:val="clear" w:pos="425"/>
        </w:tabs>
        <w:ind w:left="720" w:leftChars="0" w:hanging="360" w:firstLineChars="0"/>
        <w:jc w:val="both"/>
      </w:pPr>
      <w:r>
        <w:rPr>
          <w:rFonts w:hint="default"/>
          <w:lang w:val="en-US"/>
        </w:rPr>
        <w:t xml:space="preserve"> </w:t>
      </w:r>
      <w:r>
        <w:t>Complete a structured handover from the current project coordination function, including the full construction document register, contracts, correspondence, approvals, and decision history.</w:t>
      </w:r>
    </w:p>
    <w:p w14:paraId="0228884F">
      <w:pPr>
        <w:pStyle w:val="24"/>
        <w:numPr>
          <w:numId w:val="0"/>
        </w:numPr>
        <w:ind w:left="360" w:leftChars="0"/>
        <w:jc w:val="both"/>
      </w:pPr>
    </w:p>
    <w:p w14:paraId="1190C733">
      <w:pPr>
        <w:pStyle w:val="24"/>
        <w:numPr>
          <w:ilvl w:val="0"/>
          <w:numId w:val="1"/>
        </w:numPr>
        <w:tabs>
          <w:tab w:val="clear" w:pos="425"/>
        </w:tabs>
        <w:ind w:left="720" w:leftChars="0" w:hanging="360" w:firstLineChars="0"/>
        <w:jc w:val="both"/>
      </w:pPr>
      <w:r>
        <w:rPr>
          <w:rFonts w:hint="default"/>
          <w:lang w:val="en-US"/>
        </w:rPr>
        <w:t xml:space="preserve"> </w:t>
      </w:r>
      <w:r>
        <w:t>Coordinate RENEW's participation in commissioning, practical completion, formal handover, and opening readiness; establish the defects-liability follow-up system and ensure the orderly transfer of remaining defects liability period (DLP) responsibilities to the designated RENEW or centre-management function.</w:t>
      </w:r>
    </w:p>
    <w:p w14:paraId="3340BB46">
      <w:pPr>
        <w:pStyle w:val="24"/>
        <w:numPr>
          <w:numId w:val="0"/>
        </w:numPr>
        <w:ind w:left="360" w:leftChars="0"/>
        <w:jc w:val="both"/>
      </w:pPr>
    </w:p>
    <w:p w14:paraId="7A36B655">
      <w:pPr>
        <w:pStyle w:val="24"/>
        <w:numPr>
          <w:ilvl w:val="0"/>
          <w:numId w:val="1"/>
        </w:numPr>
        <w:tabs>
          <w:tab w:val="clear" w:pos="425"/>
        </w:tabs>
        <w:ind w:left="720" w:leftChars="0" w:hanging="360" w:firstLineChars="0"/>
        <w:jc w:val="both"/>
      </w:pPr>
      <w:r>
        <w:rPr>
          <w:rFonts w:hint="default"/>
          <w:lang w:val="en-US"/>
        </w:rPr>
        <w:t xml:space="preserve">  </w:t>
      </w:r>
      <w:r>
        <w:t>Ensure that construction-related client</w:t>
      </w:r>
      <w:r>
        <w:rPr>
          <w:b/>
          <w:bCs/>
        </w:rPr>
        <w:t xml:space="preserve"> </w:t>
      </w:r>
      <w:r>
        <w:t>records are complete, current, and auditable in accordance with donor requirements and Royal Audit Authority standards.</w:t>
      </w:r>
    </w:p>
    <w:p w14:paraId="153CB2FE">
      <w:pPr>
        <w:pStyle w:val="3"/>
        <w:keepNext/>
        <w:jc w:val="both"/>
      </w:pPr>
    </w:p>
    <w:p w14:paraId="1FFDCDAC">
      <w:pPr>
        <w:pStyle w:val="3"/>
        <w:keepNext/>
        <w:jc w:val="both"/>
      </w:pPr>
      <w:r>
        <w:t>B. Programme Development, Employability and Accreditation</w:t>
      </w:r>
    </w:p>
    <w:p w14:paraId="66C7FD73">
      <w:pPr>
        <w:jc w:val="both"/>
      </w:pPr>
      <w:r>
        <w:t>The PM drives the programme workstream, removes bottlenecks, and coordinates the regulatory and institutional interfaces. RENEW's programme team and commissioned experts remain responsible for specialist analysis, curriculum content, and technical validation.</w:t>
      </w:r>
    </w:p>
    <w:p w14:paraId="0E06C64F">
      <w:pPr>
        <w:pStyle w:val="24"/>
        <w:numPr>
          <w:numId w:val="0"/>
        </w:numPr>
        <w:jc w:val="both"/>
      </w:pPr>
    </w:p>
    <w:p w14:paraId="2E82CE6A">
      <w:pPr>
        <w:pStyle w:val="24"/>
        <w:numPr>
          <w:numId w:val="0"/>
        </w:numPr>
        <w:ind w:left="360" w:leftChars="0"/>
      </w:pPr>
    </w:p>
    <w:p w14:paraId="093DD6B8">
      <w:pPr>
        <w:pStyle w:val="24"/>
        <w:numPr>
          <w:ilvl w:val="0"/>
          <w:numId w:val="2"/>
        </w:numPr>
        <w:tabs>
          <w:tab w:val="clear" w:pos="425"/>
        </w:tabs>
        <w:ind w:left="720" w:leftChars="0" w:hanging="360" w:firstLineChars="0"/>
        <w:jc w:val="both"/>
      </w:pPr>
      <w:r>
        <w:t>Coordinate the timely development and validation of competency-based curricula and course descriptions in accordance with applicable Bhutanese requirements.</w:t>
      </w:r>
    </w:p>
    <w:p w14:paraId="5A485F12">
      <w:pPr>
        <w:pStyle w:val="24"/>
        <w:numPr>
          <w:numId w:val="0"/>
        </w:numPr>
        <w:ind w:left="360" w:leftChars="0"/>
        <w:jc w:val="both"/>
      </w:pPr>
    </w:p>
    <w:p w14:paraId="77C81E67">
      <w:pPr>
        <w:pStyle w:val="24"/>
        <w:numPr>
          <w:ilvl w:val="0"/>
          <w:numId w:val="2"/>
        </w:numPr>
        <w:tabs>
          <w:tab w:val="clear" w:pos="425"/>
        </w:tabs>
        <w:ind w:left="720" w:leftChars="0" w:hanging="360" w:firstLineChars="0"/>
        <w:jc w:val="both"/>
      </w:pPr>
      <w:r>
        <w:rPr>
          <w:rFonts w:hint="default"/>
          <w:lang w:val="en-US"/>
        </w:rPr>
        <w:t xml:space="preserve"> </w:t>
      </w:r>
      <w:r>
        <w:t>Ensure that skills-needs and labour-market assessments are completed and validated for the planned vocational courses, with clear employment and self-employment pathways relevant to Bumthang and the wider catchment area.</w:t>
      </w:r>
    </w:p>
    <w:p w14:paraId="2B4739AD">
      <w:pPr>
        <w:pStyle w:val="24"/>
        <w:numPr>
          <w:numId w:val="0"/>
        </w:numPr>
        <w:ind w:left="360" w:leftChars="0"/>
        <w:jc w:val="both"/>
      </w:pPr>
    </w:p>
    <w:p w14:paraId="246306CB">
      <w:pPr>
        <w:pStyle w:val="24"/>
        <w:numPr>
          <w:ilvl w:val="0"/>
          <w:numId w:val="2"/>
        </w:numPr>
        <w:tabs>
          <w:tab w:val="clear" w:pos="425"/>
        </w:tabs>
        <w:ind w:left="720" w:leftChars="0" w:hanging="360" w:firstLineChars="0"/>
        <w:jc w:val="both"/>
      </w:pPr>
      <w:r>
        <w:t>Coordinate the relevant curriculum review, validation, endorsement, training-provider registration, and course-registration processes with the competent authorities under the Ministry of Education and Skills Development.</w:t>
      </w:r>
    </w:p>
    <w:p w14:paraId="74BC320A">
      <w:pPr>
        <w:pStyle w:val="24"/>
        <w:numPr>
          <w:numId w:val="0"/>
        </w:numPr>
        <w:ind w:left="360" w:leftChars="0"/>
      </w:pPr>
    </w:p>
    <w:p w14:paraId="06086B32">
      <w:pPr>
        <w:pStyle w:val="24"/>
        <w:numPr>
          <w:ilvl w:val="0"/>
          <w:numId w:val="2"/>
        </w:numPr>
        <w:tabs>
          <w:tab w:val="clear" w:pos="425"/>
        </w:tabs>
        <w:ind w:left="720" w:leftChars="0" w:hanging="360" w:firstLineChars="0"/>
        <w:jc w:val="both"/>
      </w:pPr>
      <w:r>
        <w:rPr>
          <w:rFonts w:hint="default"/>
          <w:lang w:val="en-US"/>
        </w:rPr>
        <w:t xml:space="preserve"> </w:t>
      </w:r>
      <w:r>
        <w:t xml:space="preserve">Coordinate the development of cross-cutting and bridging content, including language, ICT, communication, financial literacy, entrepreneurship, life skills, </w:t>
      </w:r>
      <w:r>
        <w:rPr>
          <w:lang w:val="en-US"/>
        </w:rPr>
        <w:t>well being</w:t>
      </w:r>
      <w:r>
        <w:t>, and other agreed components.</w:t>
      </w:r>
    </w:p>
    <w:p w14:paraId="79A262C1">
      <w:pPr>
        <w:pStyle w:val="24"/>
        <w:numPr>
          <w:numId w:val="0"/>
        </w:numPr>
        <w:ind w:left="360" w:leftChars="0"/>
      </w:pPr>
    </w:p>
    <w:p w14:paraId="0C0521A7">
      <w:pPr>
        <w:pStyle w:val="24"/>
        <w:numPr>
          <w:ilvl w:val="0"/>
          <w:numId w:val="2"/>
        </w:numPr>
        <w:tabs>
          <w:tab w:val="clear" w:pos="425"/>
        </w:tabs>
        <w:ind w:left="720" w:leftChars="0" w:hanging="360" w:firstLineChars="0"/>
        <w:jc w:val="both"/>
      </w:pPr>
      <w:r>
        <w:t>Build and formalise partnerships with employers, TVET institutions, and other relevant organisations for curriculum benchmarking, workplace learning, internships, placement, faculty exchange, and transition to employment or self-employment.</w:t>
      </w:r>
    </w:p>
    <w:p w14:paraId="097D25E0">
      <w:pPr>
        <w:pStyle w:val="24"/>
        <w:numPr>
          <w:numId w:val="0"/>
        </w:numPr>
        <w:ind w:left="360" w:leftChars="0"/>
      </w:pPr>
    </w:p>
    <w:p w14:paraId="3BE8B7E5">
      <w:pPr>
        <w:pStyle w:val="24"/>
        <w:numPr>
          <w:ilvl w:val="0"/>
          <w:numId w:val="2"/>
        </w:numPr>
        <w:tabs>
          <w:tab w:val="clear" w:pos="425"/>
        </w:tabs>
        <w:ind w:left="720" w:leftChars="0" w:hanging="360" w:firstLineChars="0"/>
        <w:jc w:val="both"/>
      </w:pPr>
      <w:r>
        <w:rPr>
          <w:rFonts w:hint="default"/>
          <w:lang w:val="en-US"/>
        </w:rPr>
        <w:t xml:space="preserve"> </w:t>
      </w:r>
      <w:r>
        <w:t xml:space="preserve">Apply the principle that </w:t>
      </w:r>
      <w:r>
        <w:rPr>
          <w:rFonts w:hint="default"/>
          <w:lang w:val="en-US"/>
        </w:rPr>
        <w:t>F</w:t>
      </w:r>
      <w:r>
        <w:rPr>
          <w:i/>
          <w:iCs/>
        </w:rPr>
        <w:t xml:space="preserve">orm </w:t>
      </w:r>
      <w:r>
        <w:rPr>
          <w:rFonts w:hint="default"/>
          <w:i/>
          <w:iCs/>
          <w:lang w:val="en-US"/>
        </w:rPr>
        <w:t>F</w:t>
      </w:r>
      <w:r>
        <w:rPr>
          <w:i/>
          <w:iCs/>
        </w:rPr>
        <w:t xml:space="preserve">ollows </w:t>
      </w:r>
      <w:r>
        <w:rPr>
          <w:rFonts w:hint="default"/>
          <w:i/>
          <w:iCs/>
          <w:lang w:val="en-US"/>
        </w:rPr>
        <w:t>F</w:t>
      </w:r>
      <w:r>
        <w:rPr>
          <w:i/>
          <w:iCs/>
        </w:rPr>
        <w:t>unction</w:t>
      </w:r>
      <w:r>
        <w:t xml:space="preserve"> by ensuring that programme schedules, delivery models, safeguarding needs, learner pathways, curriculum and equipment requirements are translated into clear spatial and operational requirements, and that facility design, digital infrastructure, operational systems, and the approved user-space requirements remain aligned.</w:t>
      </w:r>
    </w:p>
    <w:p w14:paraId="0B637C68">
      <w:pPr>
        <w:pStyle w:val="3"/>
        <w:keepNext/>
      </w:pPr>
      <w:r>
        <w:t>C. Institutional Setup, Financial Sustainability and Impact</w:t>
      </w:r>
    </w:p>
    <w:p w14:paraId="02A85FC0">
      <w:pPr>
        <w:jc w:val="both"/>
      </w:pPr>
      <w:r>
        <w:t>The PM coordinates the establishment of the VTCB as a viable, safeguarding-sensitive, employment-oriented, and financially sustainable institution. The PM also oversees transition-to-operation planning, including readiness assessments, systems setup, procurement sequencing, stakeholder coordination, and alignment of infrastructure, equipment, staffing, and programme delivery.</w:t>
      </w:r>
    </w:p>
    <w:p w14:paraId="06F8E89D">
      <w:pPr>
        <w:jc w:val="both"/>
      </w:pPr>
    </w:p>
    <w:p w14:paraId="106E048C">
      <w:pPr>
        <w:pStyle w:val="24"/>
        <w:numPr>
          <w:ilvl w:val="0"/>
          <w:numId w:val="3"/>
        </w:numPr>
        <w:ind w:left="720" w:leftChars="0" w:hanging="360" w:firstLineChars="0"/>
        <w:jc w:val="both"/>
      </w:pPr>
      <w:r>
        <w:t>Develop the centre's organisational structure, staffing plan, role profiles, recruitment schedule, and phased onboarding plan aligned with construction, accreditation, and opening milestones.</w:t>
      </w:r>
    </w:p>
    <w:p w14:paraId="28DFBAF3">
      <w:pPr>
        <w:pStyle w:val="24"/>
        <w:numPr>
          <w:numId w:val="0"/>
        </w:numPr>
        <w:ind w:left="360" w:leftChars="0"/>
      </w:pPr>
    </w:p>
    <w:p w14:paraId="67B12063">
      <w:pPr>
        <w:pStyle w:val="24"/>
        <w:numPr>
          <w:ilvl w:val="0"/>
          <w:numId w:val="3"/>
        </w:numPr>
        <w:ind w:left="720" w:leftChars="0" w:hanging="360" w:firstLineChars="0"/>
        <w:jc w:val="both"/>
      </w:pPr>
      <w:r>
        <w:t>Coordinate recruitment and onboarding of teaching, administrative, learner-support, residential, and operational staff through RENEW's approved HR procedures, ensuring that regulatory and safeguarding requirements are met.</w:t>
      </w:r>
    </w:p>
    <w:p w14:paraId="2A0B6138">
      <w:pPr>
        <w:pStyle w:val="24"/>
        <w:numPr>
          <w:numId w:val="0"/>
        </w:numPr>
        <w:ind w:left="360" w:leftChars="0"/>
      </w:pPr>
    </w:p>
    <w:p w14:paraId="11346948">
      <w:pPr>
        <w:pStyle w:val="24"/>
        <w:numPr>
          <w:ilvl w:val="0"/>
          <w:numId w:val="3"/>
        </w:numPr>
        <w:ind w:left="720" w:leftChars="0" w:hanging="360" w:firstLineChars="0"/>
        <w:jc w:val="both"/>
      </w:pPr>
      <w:r>
        <w:t>Coordinate the development of operational policies and SOPs covering admissions, safeguarding and student welfare, residential care, academic delivery, assessment, internships and workplace learning, conduct, complaints, exit, placement, and alumni follow-up.</w:t>
      </w:r>
    </w:p>
    <w:p w14:paraId="1C9B4679">
      <w:pPr>
        <w:pStyle w:val="24"/>
        <w:numPr>
          <w:numId w:val="0"/>
        </w:numPr>
        <w:ind w:left="360" w:leftChars="0"/>
        <w:jc w:val="both"/>
      </w:pPr>
    </w:p>
    <w:p w14:paraId="22B7B78A">
      <w:pPr>
        <w:pStyle w:val="24"/>
        <w:numPr>
          <w:ilvl w:val="0"/>
          <w:numId w:val="3"/>
        </w:numPr>
        <w:ind w:left="720" w:leftChars="0" w:hanging="360" w:firstLineChars="0"/>
        <w:jc w:val="both"/>
      </w:pPr>
      <w:r>
        <w:t>Develop an operational business plan and multi-year budget covering staffing, utilities, maintenance, programme delivery, learner support, reserves, cost recovery, and funding requirements.</w:t>
      </w:r>
    </w:p>
    <w:p w14:paraId="7D08EE70">
      <w:pPr>
        <w:pStyle w:val="24"/>
        <w:numPr>
          <w:ilvl w:val="0"/>
          <w:numId w:val="3"/>
        </w:numPr>
        <w:ind w:left="720" w:leftChars="0" w:hanging="360" w:firstLineChars="0"/>
        <w:jc w:val="both"/>
      </w:pPr>
      <w:r>
        <w:t>Develop and test an income-generation and partnership strategy, including appropriate options such as product-related learning and sales, responsible use of shared facilities, training services, industry partnerships, and alumni engagement.</w:t>
      </w:r>
    </w:p>
    <w:p w14:paraId="677A321F">
      <w:pPr>
        <w:pStyle w:val="24"/>
        <w:numPr>
          <w:numId w:val="0"/>
        </w:numPr>
        <w:ind w:left="360" w:leftChars="0"/>
        <w:jc w:val="both"/>
      </w:pPr>
    </w:p>
    <w:p w14:paraId="5AB03F90">
      <w:pPr>
        <w:pStyle w:val="24"/>
        <w:numPr>
          <w:ilvl w:val="0"/>
          <w:numId w:val="3"/>
        </w:numPr>
        <w:ind w:left="720" w:leftChars="0" w:hanging="360" w:firstLineChars="0"/>
        <w:jc w:val="both"/>
      </w:pPr>
      <w:r>
        <w:t>Lead the consolidation of operational requirements and procurement packages for training equipment, furniture, ICT, and other non-construction items, and coordinate facility-management, maintenance, asset-management, and operational-procurement arrangements for the completed campus. Building design, technical specifications, and Bills of Quantities for construction works remain the responsibility of the Architect/Engineering Consultant.</w:t>
      </w:r>
    </w:p>
    <w:p w14:paraId="37545809">
      <w:pPr>
        <w:pStyle w:val="24"/>
        <w:numPr>
          <w:numId w:val="0"/>
        </w:numPr>
        <w:ind w:left="360" w:leftChars="0"/>
      </w:pPr>
    </w:p>
    <w:p w14:paraId="36836156">
      <w:pPr>
        <w:pStyle w:val="24"/>
        <w:numPr>
          <w:ilvl w:val="0"/>
          <w:numId w:val="3"/>
        </w:numPr>
        <w:ind w:left="720" w:leftChars="0" w:hanging="360" w:firstLineChars="0"/>
        <w:jc w:val="both"/>
      </w:pPr>
      <w:r>
        <w:t>Coordinate the establishment of an effective monitoring, evaluation, and learning system, including baseline and target definitions, tracer-study methodology, an impact-assessment framework, and indicators for training quality, completion, placement, employment, and self-employment outcomes.</w:t>
      </w:r>
    </w:p>
    <w:p w14:paraId="6939FAE7">
      <w:pPr>
        <w:pStyle w:val="3"/>
        <w:keepNext/>
      </w:pPr>
      <w:r>
        <w:t>D. Stakeholder Management, Events and Communications</w:t>
      </w:r>
    </w:p>
    <w:p w14:paraId="705B67E0">
      <w:pPr>
        <w:pStyle w:val="24"/>
        <w:numPr>
          <w:ilvl w:val="0"/>
          <w:numId w:val="4"/>
        </w:numPr>
        <w:ind w:left="720" w:leftChars="0" w:hanging="360" w:firstLineChars="0"/>
        <w:jc w:val="both"/>
      </w:pPr>
      <w:r>
        <w:t>Serve as RENEW's primary operational point of contact for project-related engagement with government agencies, Bumthang Dzongkhag Administration, project partners, employers, training institutions, and community stakeholders, within delegated authority.</w:t>
      </w:r>
    </w:p>
    <w:p w14:paraId="186514A1">
      <w:pPr>
        <w:pStyle w:val="24"/>
        <w:numPr>
          <w:numId w:val="0"/>
        </w:numPr>
        <w:ind w:left="360" w:leftChars="0"/>
        <w:jc w:val="both"/>
      </w:pPr>
    </w:p>
    <w:p w14:paraId="7DACF528">
      <w:pPr>
        <w:pStyle w:val="24"/>
        <w:numPr>
          <w:ilvl w:val="0"/>
          <w:numId w:val="4"/>
        </w:numPr>
        <w:ind w:left="720" w:leftChars="0" w:hanging="360" w:firstLineChars="0"/>
        <w:jc w:val="both"/>
      </w:pPr>
      <w:r>
        <w:t>Maintain constructive community relationships in Bumthang, including engagement with potential participants and families, local leaders, civil-society organisations, and training and employment partners.</w:t>
      </w:r>
    </w:p>
    <w:p w14:paraId="3CDE3170">
      <w:pPr>
        <w:pStyle w:val="24"/>
        <w:numPr>
          <w:numId w:val="0"/>
        </w:numPr>
        <w:ind w:left="360" w:leftChars="0"/>
        <w:jc w:val="both"/>
      </w:pPr>
    </w:p>
    <w:p w14:paraId="6F45F83D">
      <w:pPr>
        <w:pStyle w:val="24"/>
        <w:numPr>
          <w:ilvl w:val="0"/>
          <w:numId w:val="4"/>
        </w:numPr>
        <w:ind w:left="720" w:leftChars="0" w:hanging="360" w:firstLineChars="0"/>
        <w:jc w:val="both"/>
      </w:pPr>
      <w:r>
        <w:t>Coordinate donor and partner visits, major project events, and stakeholder workshops; prepare briefing materials and ensure that follow-up actions are documented and completed.</w:t>
      </w:r>
    </w:p>
    <w:p w14:paraId="3E1F5AF5">
      <w:pPr>
        <w:pStyle w:val="24"/>
        <w:numPr>
          <w:numId w:val="0"/>
        </w:numPr>
        <w:ind w:left="360" w:leftChars="0"/>
        <w:jc w:val="both"/>
      </w:pPr>
    </w:p>
    <w:p w14:paraId="6A512DF9">
      <w:pPr>
        <w:pStyle w:val="24"/>
        <w:numPr>
          <w:ilvl w:val="0"/>
          <w:numId w:val="4"/>
        </w:numPr>
        <w:ind w:left="720" w:leftChars="0" w:hanging="360" w:firstLineChars="0"/>
        <w:jc w:val="both"/>
      </w:pPr>
      <w:r>
        <w:t>Coordinate accurate and timely inputs for project communications, including progress updates, press releases, newsletters, social media, and photo and video documentation, in accordance with approved partner-visibility requirements.</w:t>
      </w:r>
    </w:p>
    <w:p w14:paraId="475DA65D">
      <w:pPr>
        <w:pStyle w:val="3"/>
        <w:keepNext/>
      </w:pPr>
      <w:r>
        <w:t>E. Integrated Planning, Administration, Reporting and PMG Support</w:t>
      </w:r>
    </w:p>
    <w:p w14:paraId="6EC40FC1">
      <w:pPr>
        <w:pStyle w:val="24"/>
        <w:numPr>
          <w:ilvl w:val="0"/>
          <w:numId w:val="5"/>
        </w:numPr>
        <w:ind w:left="720" w:leftChars="0" w:hanging="360" w:firstLineChars="0"/>
        <w:jc w:val="both"/>
      </w:pPr>
      <w:r>
        <w:t>Maintain one integrated master work plan covering design and construction, programme development, procurement, accreditation, institutional setup, financial sustainability, impact measurement, and opening readiness; align it with the Consultant's approved implementation schedule.</w:t>
      </w:r>
    </w:p>
    <w:p w14:paraId="3006BE06">
      <w:pPr>
        <w:pStyle w:val="24"/>
        <w:numPr>
          <w:numId w:val="0"/>
        </w:numPr>
        <w:ind w:left="360" w:leftChars="0"/>
        <w:jc w:val="both"/>
      </w:pPr>
    </w:p>
    <w:p w14:paraId="729D5460">
      <w:pPr>
        <w:pStyle w:val="24"/>
        <w:numPr>
          <w:ilvl w:val="0"/>
          <w:numId w:val="5"/>
        </w:numPr>
        <w:ind w:left="720" w:leftChars="0" w:hanging="360" w:firstLineChars="0"/>
      </w:pPr>
      <w:r>
        <w:t>Coordinate project-budget monitoring, cash-flow and disbursement planning, and transparent management of the dedicated VTCB project account with RENEW Finance and the relevant partners.</w:t>
      </w:r>
    </w:p>
    <w:p w14:paraId="3ADC7EF1">
      <w:pPr>
        <w:pStyle w:val="24"/>
        <w:numPr>
          <w:numId w:val="0"/>
        </w:numPr>
        <w:ind w:left="360" w:leftChars="0"/>
      </w:pPr>
    </w:p>
    <w:p w14:paraId="18BACB0F">
      <w:pPr>
        <w:pStyle w:val="24"/>
        <w:numPr>
          <w:ilvl w:val="0"/>
          <w:numId w:val="5"/>
        </w:numPr>
        <w:ind w:left="720" w:leftChars="0" w:hanging="360" w:firstLineChars="0"/>
        <w:jc w:val="both"/>
      </w:pPr>
      <w:r>
        <w:t>Prepare timely management and donor reports, decision papers, and progress presentations, consolidating technical inputs from the Architect/Engineering Consultant and specialist programme teams.</w:t>
      </w:r>
    </w:p>
    <w:p w14:paraId="650684B4">
      <w:pPr>
        <w:pStyle w:val="24"/>
        <w:numPr>
          <w:numId w:val="0"/>
        </w:numPr>
        <w:ind w:left="360" w:leftChars="0"/>
      </w:pPr>
    </w:p>
    <w:p w14:paraId="510CAC61">
      <w:pPr>
        <w:pStyle w:val="24"/>
        <w:numPr>
          <w:ilvl w:val="0"/>
          <w:numId w:val="5"/>
        </w:numPr>
        <w:ind w:left="720" w:leftChars="0" w:hanging="360" w:firstLineChars="0"/>
        <w:jc w:val="both"/>
      </w:pPr>
      <w:r>
        <w:t>Maintain an up-to-date risk and issue register, decision log, change log, action tracker, reporting calendar, and escalation process.</w:t>
      </w:r>
    </w:p>
    <w:p w14:paraId="7638E476">
      <w:pPr>
        <w:pStyle w:val="24"/>
        <w:numPr>
          <w:numId w:val="0"/>
        </w:numPr>
        <w:ind w:left="360" w:leftChars="0"/>
      </w:pPr>
    </w:p>
    <w:p w14:paraId="6E3DEC56">
      <w:pPr>
        <w:pStyle w:val="24"/>
        <w:numPr>
          <w:ilvl w:val="0"/>
          <w:numId w:val="5"/>
        </w:numPr>
        <w:ind w:left="720" w:leftChars="0" w:hanging="360" w:firstLineChars="0"/>
        <w:jc w:val="both"/>
      </w:pPr>
      <w:r>
        <w:t>Maintain a complete and auditable project filing system covering contracts, procurement, payments, approvals, correspondence, reports, minutes, safeguards, and evidence of expenditure.</w:t>
      </w:r>
    </w:p>
    <w:p w14:paraId="44A61DB3">
      <w:pPr>
        <w:pStyle w:val="24"/>
        <w:numPr>
          <w:numId w:val="0"/>
        </w:numPr>
        <w:ind w:left="360" w:leftChars="0"/>
        <w:jc w:val="both"/>
      </w:pPr>
    </w:p>
    <w:p w14:paraId="58A09D0C">
      <w:pPr>
        <w:pStyle w:val="24"/>
        <w:numPr>
          <w:ilvl w:val="0"/>
          <w:numId w:val="5"/>
        </w:numPr>
        <w:ind w:left="720" w:leftChars="0" w:hanging="360" w:firstLineChars="0"/>
        <w:jc w:val="both"/>
      </w:pPr>
      <w:r>
        <w:t>Serve as the operational secretariat to the PMG by preparing agendas, briefing papers, progress reports, decision records, minutes, and the risk and issue register in accordance with the approved PMG Rules of Procedure.</w:t>
      </w:r>
    </w:p>
    <w:p w14:paraId="443AB784">
      <w:pPr>
        <w:pStyle w:val="24"/>
        <w:numPr>
          <w:numId w:val="0"/>
        </w:numPr>
        <w:ind w:left="360" w:leftChars="0"/>
        <w:jc w:val="both"/>
      </w:pPr>
    </w:p>
    <w:p w14:paraId="24B5AE4D">
      <w:pPr>
        <w:pStyle w:val="24"/>
        <w:numPr>
          <w:ilvl w:val="0"/>
          <w:numId w:val="5"/>
        </w:numPr>
        <w:ind w:left="720" w:leftChars="0" w:hanging="360" w:firstLineChars="0"/>
        <w:jc w:val="both"/>
      </w:pPr>
      <w:r>
        <w:t>Plan and manage the eventual transfer of responsibilities, systems, records, and open actions to the designated VTCB centre leadership and other responsible RENEW functions.</w:t>
      </w:r>
    </w:p>
    <w:p w14:paraId="2DAC2E83">
      <w:pPr>
        <w:pStyle w:val="2"/>
        <w:keepNext/>
      </w:pPr>
      <w:r>
        <w:t>4. Candidate Profile</w:t>
      </w:r>
    </w:p>
    <w:p w14:paraId="418135ED">
      <w:pPr>
        <w:pStyle w:val="3"/>
        <w:keepNext/>
        <w:rPr>
          <w:rFonts w:hint="default"/>
          <w:lang w:val="en-US"/>
        </w:rPr>
      </w:pPr>
      <w:r>
        <w:t>Essential Requirements</w:t>
      </w:r>
    </w:p>
    <w:p w14:paraId="14FE92E0">
      <w:pPr>
        <w:pStyle w:val="24"/>
        <w:numPr>
          <w:ilvl w:val="0"/>
          <w:numId w:val="6"/>
        </w:numPr>
        <w:ind w:left="720" w:leftChars="0" w:hanging="360" w:firstLineChars="0"/>
        <w:jc w:val="both"/>
      </w:pPr>
      <w:r>
        <w:t xml:space="preserve">A bachelor's degree in </w:t>
      </w:r>
      <w:r>
        <w:rPr>
          <w:rFonts w:hint="default"/>
          <w:lang w:val="en-US"/>
        </w:rPr>
        <w:t>a relevant field to the assignment (P</w:t>
      </w:r>
      <w:r>
        <w:t>roject m</w:t>
      </w:r>
      <w:bookmarkStart w:id="0" w:name="_GoBack"/>
      <w:bookmarkEnd w:id="0"/>
      <w:r>
        <w:t>anagement, civil engineering, architecture, construction management, business or public administration, education or TVET managem</w:t>
      </w:r>
      <w:r>
        <w:rPr>
          <w:rFonts w:hint="default"/>
          <w:lang w:val="en-US"/>
        </w:rPr>
        <w:t xml:space="preserve">ent) </w:t>
      </w:r>
    </w:p>
    <w:p w14:paraId="51687B13">
      <w:pPr>
        <w:pStyle w:val="24"/>
        <w:numPr>
          <w:numId w:val="0"/>
        </w:numPr>
        <w:ind w:left="360" w:leftChars="0"/>
      </w:pPr>
    </w:p>
    <w:p w14:paraId="055563AF">
      <w:pPr>
        <w:pStyle w:val="24"/>
        <w:numPr>
          <w:ilvl w:val="0"/>
          <w:numId w:val="6"/>
        </w:numPr>
        <w:ind w:left="720" w:leftChars="0" w:hanging="360" w:firstLineChars="0"/>
        <w:jc w:val="both"/>
      </w:pPr>
      <w:r>
        <w:t>At least seven years of progressively responsible professional experience, including at least three years in a project-leadership or senior-coordination role.</w:t>
      </w:r>
    </w:p>
    <w:p w14:paraId="4072BF7F">
      <w:pPr>
        <w:pStyle w:val="24"/>
        <w:numPr>
          <w:numId w:val="0"/>
        </w:numPr>
        <w:ind w:left="360" w:leftChars="0"/>
        <w:jc w:val="both"/>
      </w:pPr>
    </w:p>
    <w:p w14:paraId="37DDEEEA">
      <w:pPr>
        <w:pStyle w:val="24"/>
        <w:numPr>
          <w:ilvl w:val="0"/>
          <w:numId w:val="6"/>
        </w:numPr>
        <w:ind w:left="720" w:leftChars="0" w:hanging="360" w:firstLineChars="0"/>
        <w:jc w:val="both"/>
      </w:pPr>
      <w:r>
        <w:t>Demonstrated experience in client-side coordination of an infrastructure or construction project, including schedule and budget monitoring and coordination with consultants and contractors.</w:t>
      </w:r>
    </w:p>
    <w:p w14:paraId="44E4FF89">
      <w:pPr>
        <w:pStyle w:val="24"/>
        <w:numPr>
          <w:numId w:val="0"/>
        </w:numPr>
        <w:ind w:left="360" w:leftChars="0"/>
        <w:jc w:val="both"/>
      </w:pPr>
    </w:p>
    <w:p w14:paraId="582365A4">
      <w:pPr>
        <w:pStyle w:val="24"/>
        <w:numPr>
          <w:ilvl w:val="0"/>
          <w:numId w:val="6"/>
        </w:numPr>
        <w:ind w:left="720" w:leftChars="0" w:hanging="360" w:firstLineChars="0"/>
        <w:jc w:val="both"/>
      </w:pPr>
      <w:r>
        <w:t>Practical experience in procurement and contract administration, financial monitoring, documentation, reporting, and audit or compliance requirements.</w:t>
      </w:r>
    </w:p>
    <w:p w14:paraId="47E1E70E">
      <w:pPr>
        <w:pStyle w:val="24"/>
        <w:numPr>
          <w:numId w:val="0"/>
        </w:numPr>
        <w:ind w:left="360" w:leftChars="0"/>
      </w:pPr>
    </w:p>
    <w:p w14:paraId="60FF2E3A">
      <w:pPr>
        <w:pStyle w:val="24"/>
        <w:numPr>
          <w:ilvl w:val="0"/>
          <w:numId w:val="6"/>
        </w:numPr>
        <w:ind w:left="720" w:leftChars="0" w:hanging="360" w:firstLineChars="0"/>
        <w:jc w:val="both"/>
      </w:pPr>
      <w:r>
        <w:t>Strong written and spoken English and the ability to prepare clear management reports, decision papers, minutes, and external communications.</w:t>
      </w:r>
    </w:p>
    <w:p w14:paraId="5F22391F">
      <w:pPr>
        <w:pStyle w:val="24"/>
        <w:numPr>
          <w:numId w:val="0"/>
        </w:numPr>
        <w:ind w:left="360" w:leftChars="0"/>
      </w:pPr>
    </w:p>
    <w:p w14:paraId="389D4542">
      <w:pPr>
        <w:pStyle w:val="24"/>
        <w:numPr>
          <w:ilvl w:val="0"/>
          <w:numId w:val="6"/>
        </w:numPr>
        <w:ind w:left="720" w:leftChars="0" w:hanging="360" w:firstLineChars="0"/>
        <w:jc w:val="both"/>
      </w:pPr>
      <w:r>
        <w:t>Legal eligibility to work in Bhutan and willingness to travel frequently to Bumthang, including extended stays during critical project phases.</w:t>
      </w:r>
    </w:p>
    <w:p w14:paraId="38C158C0">
      <w:pPr>
        <w:pStyle w:val="24"/>
        <w:numPr>
          <w:numId w:val="0"/>
        </w:numPr>
        <w:ind w:left="360" w:leftChars="0"/>
        <w:jc w:val="both"/>
      </w:pPr>
    </w:p>
    <w:p w14:paraId="0476B4D2">
      <w:pPr>
        <w:pStyle w:val="24"/>
        <w:numPr>
          <w:ilvl w:val="0"/>
          <w:numId w:val="6"/>
        </w:numPr>
        <w:ind w:left="720" w:leftChars="0" w:hanging="360" w:firstLineChars="0"/>
        <w:jc w:val="both"/>
      </w:pPr>
      <w:r>
        <w:t>High integrity and a clear commitment to safeguarding, inclusion, accountability, and RENEW's mission.</w:t>
      </w:r>
    </w:p>
    <w:p w14:paraId="59038679">
      <w:pPr>
        <w:pStyle w:val="3"/>
        <w:keepNext/>
      </w:pPr>
      <w:r>
        <w:t>Desirable Experience</w:t>
      </w:r>
    </w:p>
    <w:p w14:paraId="774AB3E9">
      <w:pPr>
        <w:pStyle w:val="24"/>
        <w:numPr>
          <w:ilvl w:val="0"/>
          <w:numId w:val="7"/>
        </w:numPr>
        <w:ind w:left="720" w:leftChars="0" w:hanging="360" w:firstLineChars="0"/>
      </w:pPr>
      <w:r>
        <w:t>A postgraduate qualification or recognised project-management certification.</w:t>
      </w:r>
    </w:p>
    <w:p w14:paraId="634AB8E6">
      <w:pPr>
        <w:pStyle w:val="24"/>
        <w:numPr>
          <w:numId w:val="0"/>
        </w:numPr>
        <w:ind w:left="360" w:leftChars="0"/>
      </w:pPr>
    </w:p>
    <w:p w14:paraId="07E4D753">
      <w:pPr>
        <w:pStyle w:val="24"/>
        <w:numPr>
          <w:ilvl w:val="0"/>
          <w:numId w:val="7"/>
        </w:numPr>
        <w:ind w:left="720" w:leftChars="0" w:hanging="360" w:firstLineChars="0"/>
        <w:jc w:val="both"/>
      </w:pPr>
      <w:r>
        <w:t>Experience in TVET, education, skills development, accreditation, training-provider registration, or labour-market-oriented programme development.</w:t>
      </w:r>
    </w:p>
    <w:p w14:paraId="7BF74BC6">
      <w:pPr>
        <w:pStyle w:val="24"/>
        <w:numPr>
          <w:numId w:val="0"/>
        </w:numPr>
        <w:ind w:left="360" w:leftChars="0"/>
        <w:jc w:val="both"/>
      </w:pPr>
    </w:p>
    <w:p w14:paraId="7125515C">
      <w:pPr>
        <w:pStyle w:val="24"/>
        <w:numPr>
          <w:ilvl w:val="0"/>
          <w:numId w:val="7"/>
        </w:numPr>
        <w:ind w:left="720" w:leftChars="0" w:hanging="360" w:firstLineChars="0"/>
        <w:jc w:val="both"/>
      </w:pPr>
      <w:r>
        <w:t>Experience in establishing or operationalising a new institution, including staffing, policies, systems, equipment planning, and transition-to-operation readiness.</w:t>
      </w:r>
    </w:p>
    <w:p w14:paraId="161432A3">
      <w:pPr>
        <w:pStyle w:val="24"/>
        <w:numPr>
          <w:numId w:val="0"/>
        </w:numPr>
        <w:ind w:left="360" w:leftChars="0"/>
        <w:jc w:val="both"/>
      </w:pPr>
    </w:p>
    <w:p w14:paraId="3FAF17D4">
      <w:pPr>
        <w:pStyle w:val="24"/>
        <w:numPr>
          <w:ilvl w:val="0"/>
          <w:numId w:val="7"/>
        </w:numPr>
        <w:ind w:left="720" w:leftChars="0" w:hanging="360" w:firstLineChars="0"/>
        <w:jc w:val="both"/>
      </w:pPr>
      <w:r>
        <w:t>Experience in business planning, cost recovery, income generation, or the financial sustainability of a social-purpose institution.</w:t>
      </w:r>
    </w:p>
    <w:p w14:paraId="2D798C53">
      <w:pPr>
        <w:pStyle w:val="24"/>
        <w:numPr>
          <w:numId w:val="0"/>
        </w:numPr>
        <w:ind w:left="360" w:leftChars="0"/>
        <w:jc w:val="both"/>
      </w:pPr>
    </w:p>
    <w:p w14:paraId="3B31FEF3">
      <w:pPr>
        <w:pStyle w:val="24"/>
        <w:numPr>
          <w:ilvl w:val="0"/>
          <w:numId w:val="7"/>
        </w:numPr>
        <w:ind w:left="720" w:leftChars="0" w:hanging="360" w:firstLineChars="0"/>
        <w:jc w:val="both"/>
      </w:pPr>
      <w:r>
        <w:t>Experience working with government authorities, donors, civil-society organisations, communities, and private-sector partners in Bhutan.</w:t>
      </w:r>
    </w:p>
    <w:p w14:paraId="0C3FA730">
      <w:pPr>
        <w:pStyle w:val="24"/>
        <w:numPr>
          <w:numId w:val="0"/>
        </w:numPr>
        <w:ind w:left="360" w:leftChars="0"/>
      </w:pPr>
    </w:p>
    <w:p w14:paraId="080E8F71">
      <w:pPr>
        <w:pStyle w:val="24"/>
        <w:numPr>
          <w:ilvl w:val="0"/>
          <w:numId w:val="7"/>
        </w:numPr>
        <w:ind w:left="720" w:leftChars="0" w:hanging="360" w:firstLineChars="0"/>
      </w:pPr>
      <w:r>
        <w:t>Working knowledge of monitoring and evaluation, tracer studies, outcome measurement, and employment or placement pathways.</w:t>
      </w:r>
    </w:p>
    <w:p w14:paraId="1D2082AB">
      <w:pPr>
        <w:pStyle w:val="3"/>
        <w:keepNext/>
      </w:pPr>
      <w:r>
        <w:t>Core Competencies</w:t>
      </w:r>
    </w:p>
    <w:p w14:paraId="03419C96">
      <w:pPr>
        <w:pStyle w:val="24"/>
        <w:numPr>
          <w:ilvl w:val="0"/>
          <w:numId w:val="8"/>
        </w:numPr>
        <w:ind w:left="720" w:leftChars="0" w:hanging="360" w:firstLineChars="0"/>
        <w:jc w:val="both"/>
      </w:pPr>
      <w:r>
        <w:t>Integrated planning and disciplined follow-through across parallel workstreams.</w:t>
      </w:r>
    </w:p>
    <w:p w14:paraId="66BB09F0">
      <w:pPr>
        <w:pStyle w:val="24"/>
        <w:numPr>
          <w:numId w:val="0"/>
        </w:numPr>
        <w:ind w:left="360" w:leftChars="0"/>
        <w:jc w:val="both"/>
      </w:pPr>
    </w:p>
    <w:p w14:paraId="13006924">
      <w:pPr>
        <w:pStyle w:val="24"/>
        <w:numPr>
          <w:ilvl w:val="0"/>
          <w:numId w:val="8"/>
        </w:numPr>
        <w:ind w:left="720" w:leftChars="0" w:hanging="360" w:firstLineChars="0"/>
        <w:jc w:val="both"/>
      </w:pPr>
      <w:r>
        <w:t>Sound judgement, risk awareness, problem solving, negotiation, and conflict resolution.</w:t>
      </w:r>
    </w:p>
    <w:p w14:paraId="61D7D7FF">
      <w:pPr>
        <w:pStyle w:val="24"/>
        <w:numPr>
          <w:numId w:val="0"/>
        </w:numPr>
        <w:ind w:left="360" w:leftChars="0"/>
        <w:jc w:val="both"/>
      </w:pPr>
    </w:p>
    <w:p w14:paraId="318BD5BB">
      <w:pPr>
        <w:pStyle w:val="24"/>
        <w:numPr>
          <w:ilvl w:val="0"/>
          <w:numId w:val="8"/>
        </w:numPr>
        <w:ind w:left="720" w:leftChars="0" w:hanging="360" w:firstLineChars="0"/>
        <w:jc w:val="both"/>
      </w:pPr>
      <w:r>
        <w:t>Ability to convert complex requirements into practical work plans, responsibilities, milestones, and decision points.</w:t>
      </w:r>
    </w:p>
    <w:p w14:paraId="5C93381E">
      <w:pPr>
        <w:pStyle w:val="2"/>
        <w:keepNext/>
      </w:pPr>
      <w:r>
        <w:t>5. Application Process</w:t>
      </w:r>
    </w:p>
    <w:p w14:paraId="16DCBC8B">
      <w:r>
        <w:t>Interested candidates should submit the following documents in English:</w:t>
      </w:r>
    </w:p>
    <w:p w14:paraId="2D39D001">
      <w:pPr>
        <w:pStyle w:val="24"/>
        <w:numPr>
          <w:ilvl w:val="0"/>
          <w:numId w:val="9"/>
        </w:numPr>
        <w:jc w:val="both"/>
      </w:pPr>
      <w:r>
        <w:t>A cover letter of no more than two pages</w:t>
      </w:r>
      <w:r>
        <w:rPr>
          <w:rFonts w:hint="default"/>
          <w:lang w:val="en-US"/>
        </w:rPr>
        <w:t xml:space="preserve"> </w:t>
      </w:r>
      <w:r>
        <w:rPr>
          <w:sz w:val="20"/>
          <w:szCs w:val="20"/>
        </w:rPr>
        <w:t>demonstrating suitability for the role</w:t>
      </w:r>
      <w:r>
        <w:rPr>
          <w:rFonts w:hint="default"/>
          <w:sz w:val="20"/>
          <w:szCs w:val="20"/>
          <w:lang w:val="en-US"/>
        </w:rPr>
        <w:t>.</w:t>
      </w:r>
      <w:r>
        <w:rPr>
          <w:sz w:val="20"/>
          <w:szCs w:val="20"/>
        </w:rPr>
        <w:t xml:space="preserve"> </w:t>
      </w:r>
    </w:p>
    <w:p w14:paraId="1DED6FFC">
      <w:pPr>
        <w:pStyle w:val="24"/>
        <w:numPr>
          <w:ilvl w:val="0"/>
          <w:numId w:val="9"/>
        </w:numPr>
        <w:jc w:val="both"/>
      </w:pPr>
      <w:r>
        <w:t xml:space="preserve">A CV, including two professional referees. </w:t>
      </w:r>
    </w:p>
    <w:p w14:paraId="38EDE42C">
      <w:pPr>
        <w:pStyle w:val="24"/>
        <w:numPr>
          <w:ilvl w:val="0"/>
          <w:numId w:val="9"/>
        </w:numPr>
        <w:jc w:val="both"/>
      </w:pPr>
      <w:r>
        <w:t>Copies of relevant academic and professional qualifications.</w:t>
      </w:r>
    </w:p>
    <w:p w14:paraId="19574CB8">
      <w:pPr>
        <w:pStyle w:val="24"/>
        <w:numPr>
          <w:ilvl w:val="0"/>
          <w:numId w:val="9"/>
        </w:numPr>
        <w:jc w:val="both"/>
      </w:pPr>
      <w:r>
        <w:t>A note of no more than one page explaining how they would approach the financial sustainability of the VTCB beyond donor funding.</w:t>
      </w:r>
    </w:p>
    <w:p w14:paraId="63167E80">
      <w:pPr>
        <w:pStyle w:val="24"/>
        <w:ind w:left="720"/>
      </w:pPr>
    </w:p>
    <w:p w14:paraId="4526F56D">
      <w:pPr>
        <w:jc w:val="both"/>
      </w:pPr>
      <w:r>
        <w:t>Applications should be sent to</w:t>
      </w:r>
      <w:r>
        <w:rPr>
          <w:rFonts w:hint="default"/>
          <w:lang w:val="en-US"/>
        </w:rPr>
        <w:t xml:space="preserve"> </w:t>
      </w:r>
      <w:r>
        <w:rPr>
          <w:rFonts w:hint="default"/>
          <w:lang w:val="en-US"/>
        </w:rPr>
        <w:fldChar w:fldCharType="begin"/>
      </w:r>
      <w:r>
        <w:rPr>
          <w:rFonts w:hint="default"/>
          <w:lang w:val="en-US"/>
        </w:rPr>
        <w:instrText xml:space="preserve"> HYPERLINK "mailto:pemadeki.renew@gmail.com" </w:instrText>
      </w:r>
      <w:r>
        <w:rPr>
          <w:rFonts w:hint="default"/>
          <w:lang w:val="en-US"/>
        </w:rPr>
        <w:fldChar w:fldCharType="separate"/>
      </w:r>
      <w:r>
        <w:rPr>
          <w:rStyle w:val="20"/>
          <w:rFonts w:hint="default"/>
          <w:lang w:val="en-US"/>
        </w:rPr>
        <w:t>pemadeki.renew@gmail.com</w:t>
      </w:r>
      <w:r>
        <w:rPr>
          <w:rFonts w:hint="default"/>
          <w:lang w:val="en-US"/>
        </w:rPr>
        <w:fldChar w:fldCharType="end"/>
      </w:r>
      <w:r>
        <w:rPr>
          <w:rFonts w:hint="default"/>
          <w:lang w:val="en-US"/>
        </w:rPr>
        <w:t xml:space="preserve"> </w:t>
      </w:r>
      <w:r>
        <w:t xml:space="preserve">with the subject line "Application - VTCB Project Manager" no later than </w:t>
      </w:r>
      <w:r>
        <w:rPr>
          <w:rFonts w:hint="default"/>
          <w:lang w:val="en-US"/>
        </w:rPr>
        <w:t>24</w:t>
      </w:r>
      <w:r>
        <w:rPr>
          <w:rFonts w:hint="default"/>
          <w:vertAlign w:val="superscript"/>
          <w:lang w:val="en-US"/>
        </w:rPr>
        <w:t>th</w:t>
      </w:r>
      <w:r>
        <w:rPr>
          <w:rFonts w:hint="default"/>
          <w:lang w:val="en-US"/>
        </w:rPr>
        <w:t xml:space="preserve"> August, 2026 at 5 pm</w:t>
      </w:r>
      <w:r>
        <w:t>. Incomplete or late applications may not be considered. Only shortlisted candidates will be contacted.</w:t>
      </w:r>
    </w:p>
    <w:p w14:paraId="2B826A7C">
      <w:pPr>
        <w:jc w:val="both"/>
      </w:pPr>
    </w:p>
    <w:p w14:paraId="02A2347D">
      <w:pPr>
        <w:jc w:val="both"/>
      </w:pPr>
      <w:r>
        <w:t>The selection process may include document assessment, a structured interview, reference checks, and verification of qualifications. RENEW reserves the right to conduct safeguarding, integrity, and conflict-of-interest checks before appointment.</w:t>
      </w:r>
    </w:p>
    <w:p w14:paraId="0D9AEE0B">
      <w:pPr>
        <w:jc w:val="both"/>
      </w:pPr>
    </w:p>
    <w:p w14:paraId="7DCC4E0F">
      <w:pPr>
        <w:jc w:val="both"/>
        <w:rPr>
          <w:rFonts w:hint="default"/>
          <w:lang w:val="en-US"/>
        </w:rPr>
      </w:pPr>
    </w:p>
    <w:p w14:paraId="6B7712BD">
      <w:pPr>
        <w:jc w:val="both"/>
        <w:rPr>
          <w:rFonts w:hint="default"/>
          <w:lang w:val="en-US"/>
        </w:rPr>
      </w:pPr>
      <w:r>
        <w:rPr>
          <w:rFonts w:hint="default"/>
          <w:lang w:val="en-US"/>
        </w:rPr>
        <w:t xml:space="preserve">RENEW Organization </w:t>
      </w:r>
    </w:p>
    <w:sectPr>
      <w:headerReference r:id="rId3" w:type="default"/>
      <w:footerReference r:id="rId4" w:type="default"/>
      <w:pgSz w:w="11906" w:h="16838"/>
      <w:pgMar w:top="1440" w:right="1260" w:bottom="1260" w:left="126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86"/>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swiss"/>
    <w:pitch w:val="default"/>
    <w:sig w:usb0="E4002EFF" w:usb1="C000E47F" w:usb2="00000009" w:usb3="00000000" w:csb0="200001FF"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88B52A">
    <w:pPr>
      <w:pBdr>
        <w:top w:val="single" w:color="CCCCCC" w:sz="2" w:space="4"/>
      </w:pBd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78A50">
    <w:pPr>
      <w:pBdr>
        <w:bottom w:val="single" w:color="1F3864" w:sz="4"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F53C0A"/>
    <w:multiLevelType w:val="multilevel"/>
    <w:tmpl w:val="94F53C0A"/>
    <w:lvl w:ilvl="0" w:tentative="0">
      <w:start w:val="1"/>
      <w:numFmt w:val="decimal"/>
      <w:lvlText w:val="%1."/>
      <w:lvlJc w:val="left"/>
      <w:pPr>
        <w:tabs>
          <w:tab w:val="left" w:pos="425"/>
        </w:tabs>
        <w:ind w:left="425" w:leftChars="0" w:hanging="425" w:firstLineChars="0"/>
      </w:pPr>
      <w:rPr>
        <w:rFonts w:hint="default"/>
      </w:rPr>
    </w:lvl>
    <w:lvl w:ilvl="1" w:tentative="0">
      <w:start w:val="1"/>
      <w:numFmt w:val="lowerLetter"/>
      <w:lvlText w:val="%2)"/>
      <w:lvlJc w:val="left"/>
      <w:pPr>
        <w:tabs>
          <w:tab w:val="left" w:pos="840"/>
        </w:tabs>
        <w:ind w:left="840" w:leftChars="0" w:hanging="420" w:firstLineChars="0"/>
      </w:pPr>
      <w:rPr>
        <w:rFonts w:hint="default"/>
      </w:rPr>
    </w:lvl>
    <w:lvl w:ilvl="2" w:tentative="0">
      <w:start w:val="1"/>
      <w:numFmt w:val="lowerRoman"/>
      <w:lvlText w:val="%3."/>
      <w:lvlJc w:val="left"/>
      <w:pPr>
        <w:tabs>
          <w:tab w:val="left" w:pos="1260"/>
        </w:tabs>
        <w:ind w:left="1260" w:leftChars="0" w:hanging="420" w:firstLineChars="0"/>
      </w:pPr>
      <w:rPr>
        <w:rFonts w:hint="default"/>
      </w:rPr>
    </w:lvl>
    <w:lvl w:ilvl="3" w:tentative="0">
      <w:start w:val="1"/>
      <w:numFmt w:val="decimal"/>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decimal"/>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Roman"/>
      <w:lvlText w:val="%9."/>
      <w:lvlJc w:val="left"/>
      <w:pPr>
        <w:tabs>
          <w:tab w:val="left" w:pos="3780"/>
        </w:tabs>
        <w:ind w:left="3780" w:leftChars="0" w:hanging="420" w:firstLineChars="0"/>
      </w:pPr>
      <w:rPr>
        <w:rFonts w:hint="default"/>
      </w:rPr>
    </w:lvl>
  </w:abstractNum>
  <w:abstractNum w:abstractNumId="1">
    <w:nsid w:val="9DF86639"/>
    <w:multiLevelType w:val="singleLevel"/>
    <w:tmpl w:val="9DF86639"/>
    <w:lvl w:ilvl="0" w:tentative="0">
      <w:start w:val="1"/>
      <w:numFmt w:val="decimal"/>
      <w:lvlText w:val="%1."/>
      <w:lvlJc w:val="left"/>
      <w:pPr>
        <w:tabs>
          <w:tab w:val="left" w:pos="425"/>
        </w:tabs>
        <w:ind w:left="425" w:leftChars="0" w:hanging="425" w:firstLineChars="0"/>
      </w:pPr>
      <w:rPr>
        <w:rFonts w:hint="default"/>
      </w:rPr>
    </w:lvl>
  </w:abstractNum>
  <w:abstractNum w:abstractNumId="2">
    <w:nsid w:val="D323C99B"/>
    <w:multiLevelType w:val="singleLevel"/>
    <w:tmpl w:val="D323C99B"/>
    <w:lvl w:ilvl="0" w:tentative="0">
      <w:start w:val="1"/>
      <w:numFmt w:val="decimal"/>
      <w:lvlText w:val="%1."/>
      <w:lvlJc w:val="left"/>
      <w:pPr>
        <w:tabs>
          <w:tab w:val="left" w:pos="425"/>
        </w:tabs>
        <w:ind w:left="425" w:leftChars="0" w:hanging="425" w:firstLineChars="0"/>
      </w:pPr>
      <w:rPr>
        <w:rFonts w:hint="default"/>
      </w:rPr>
    </w:lvl>
  </w:abstractNum>
  <w:abstractNum w:abstractNumId="3">
    <w:nsid w:val="EAFFCDDC"/>
    <w:multiLevelType w:val="singleLevel"/>
    <w:tmpl w:val="EAFFCDDC"/>
    <w:lvl w:ilvl="0" w:tentative="0">
      <w:start w:val="1"/>
      <w:numFmt w:val="decimal"/>
      <w:lvlText w:val="%1."/>
      <w:lvlJc w:val="left"/>
      <w:pPr>
        <w:tabs>
          <w:tab w:val="left" w:pos="425"/>
        </w:tabs>
        <w:ind w:left="425" w:leftChars="0" w:hanging="425" w:firstLineChars="0"/>
      </w:pPr>
      <w:rPr>
        <w:rFonts w:hint="default"/>
      </w:rPr>
    </w:lvl>
  </w:abstractNum>
  <w:abstractNum w:abstractNumId="4">
    <w:nsid w:val="ED0A1278"/>
    <w:multiLevelType w:val="singleLevel"/>
    <w:tmpl w:val="ED0A1278"/>
    <w:lvl w:ilvl="0" w:tentative="0">
      <w:start w:val="1"/>
      <w:numFmt w:val="decimal"/>
      <w:lvlText w:val="%1."/>
      <w:lvlJc w:val="left"/>
      <w:pPr>
        <w:tabs>
          <w:tab w:val="left" w:pos="425"/>
        </w:tabs>
        <w:ind w:left="425" w:leftChars="0" w:hanging="425" w:firstLineChars="0"/>
      </w:pPr>
      <w:rPr>
        <w:rFonts w:hint="default"/>
      </w:rPr>
    </w:lvl>
  </w:abstractNum>
  <w:abstractNum w:abstractNumId="5">
    <w:nsid w:val="0EF3DDA5"/>
    <w:multiLevelType w:val="singleLevel"/>
    <w:tmpl w:val="0EF3DDA5"/>
    <w:lvl w:ilvl="0" w:tentative="0">
      <w:start w:val="1"/>
      <w:numFmt w:val="decimal"/>
      <w:lvlText w:val="%1."/>
      <w:lvlJc w:val="left"/>
      <w:pPr>
        <w:tabs>
          <w:tab w:val="left" w:pos="425"/>
        </w:tabs>
        <w:ind w:left="425" w:leftChars="0" w:hanging="425" w:firstLineChars="0"/>
      </w:pPr>
      <w:rPr>
        <w:rFonts w:hint="default"/>
      </w:rPr>
    </w:lvl>
  </w:abstractNum>
  <w:abstractNum w:abstractNumId="6">
    <w:nsid w:val="190F039C"/>
    <w:multiLevelType w:val="singleLevel"/>
    <w:tmpl w:val="190F039C"/>
    <w:lvl w:ilvl="0" w:tentative="0">
      <w:start w:val="1"/>
      <w:numFmt w:val="decimal"/>
      <w:lvlText w:val="%1."/>
      <w:lvlJc w:val="left"/>
      <w:pPr>
        <w:tabs>
          <w:tab w:val="left" w:pos="425"/>
        </w:tabs>
        <w:ind w:left="425" w:leftChars="0" w:hanging="425" w:firstLineChars="0"/>
      </w:pPr>
      <w:rPr>
        <w:rFonts w:hint="default"/>
      </w:rPr>
    </w:lvl>
  </w:abstractNum>
  <w:abstractNum w:abstractNumId="7">
    <w:nsid w:val="24494BC5"/>
    <w:multiLevelType w:val="multilevel"/>
    <w:tmpl w:val="24494BC5"/>
    <w:lvl w:ilvl="0" w:tentative="0">
      <w:start w:val="1"/>
      <w:numFmt w:val="lowerLetter"/>
      <w:lvlText w:val="%1)"/>
      <w:lvlJc w:val="left"/>
      <w:pPr>
        <w:ind w:left="7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8">
    <w:nsid w:val="654F2FEB"/>
    <w:multiLevelType w:val="singleLevel"/>
    <w:tmpl w:val="654F2FEB"/>
    <w:lvl w:ilvl="0" w:tentative="0">
      <w:start w:val="1"/>
      <w:numFmt w:val="decimal"/>
      <w:lvlText w:val="%1."/>
      <w:lvlJc w:val="left"/>
      <w:pPr>
        <w:tabs>
          <w:tab w:val="left" w:pos="425"/>
        </w:tabs>
        <w:ind w:left="425" w:leftChars="0" w:hanging="425" w:firstLineChars="0"/>
      </w:pPr>
      <w:rPr>
        <w:rFonts w:hint="default"/>
      </w:rPr>
    </w:lvl>
  </w:abstractNum>
  <w:num w:numId="1">
    <w:abstractNumId w:val="0"/>
  </w:num>
  <w:num w:numId="2">
    <w:abstractNumId w:val="8"/>
  </w:num>
  <w:num w:numId="3">
    <w:abstractNumId w:val="2"/>
  </w:num>
  <w:num w:numId="4">
    <w:abstractNumId w:val="5"/>
  </w:num>
  <w:num w:numId="5">
    <w:abstractNumId w:val="6"/>
  </w:num>
  <w:num w:numId="6">
    <w:abstractNumId w:val="4"/>
  </w:num>
  <w:num w:numId="7">
    <w:abstractNumId w:val="1"/>
  </w:num>
  <w:num w:numId="8">
    <w:abstractNumId w:val="3"/>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0D42"/>
    <w:rsid w:val="00005CD1"/>
    <w:rsid w:val="00020A1E"/>
    <w:rsid w:val="00035E81"/>
    <w:rsid w:val="00063F6C"/>
    <w:rsid w:val="00083C99"/>
    <w:rsid w:val="000B711F"/>
    <w:rsid w:val="000B7A39"/>
    <w:rsid w:val="001245E0"/>
    <w:rsid w:val="00124D5A"/>
    <w:rsid w:val="0012725B"/>
    <w:rsid w:val="001336B0"/>
    <w:rsid w:val="00150C31"/>
    <w:rsid w:val="0017549E"/>
    <w:rsid w:val="00183751"/>
    <w:rsid w:val="002500B2"/>
    <w:rsid w:val="00250F42"/>
    <w:rsid w:val="00254C6C"/>
    <w:rsid w:val="00255399"/>
    <w:rsid w:val="00292E0D"/>
    <w:rsid w:val="00295833"/>
    <w:rsid w:val="002C0122"/>
    <w:rsid w:val="003175C4"/>
    <w:rsid w:val="00326840"/>
    <w:rsid w:val="00334770"/>
    <w:rsid w:val="003351C6"/>
    <w:rsid w:val="00346121"/>
    <w:rsid w:val="0038074C"/>
    <w:rsid w:val="003847FF"/>
    <w:rsid w:val="003902FC"/>
    <w:rsid w:val="003A39AD"/>
    <w:rsid w:val="003E0EF8"/>
    <w:rsid w:val="003E1B83"/>
    <w:rsid w:val="00405CC9"/>
    <w:rsid w:val="00422F84"/>
    <w:rsid w:val="00443222"/>
    <w:rsid w:val="00496FB0"/>
    <w:rsid w:val="004A346C"/>
    <w:rsid w:val="004C6756"/>
    <w:rsid w:val="004F3188"/>
    <w:rsid w:val="00553323"/>
    <w:rsid w:val="005737FF"/>
    <w:rsid w:val="005807E2"/>
    <w:rsid w:val="005A193B"/>
    <w:rsid w:val="005C3F50"/>
    <w:rsid w:val="005D14A3"/>
    <w:rsid w:val="005D4E72"/>
    <w:rsid w:val="00605429"/>
    <w:rsid w:val="006112EA"/>
    <w:rsid w:val="006119EA"/>
    <w:rsid w:val="00637208"/>
    <w:rsid w:val="006C7A46"/>
    <w:rsid w:val="006D35BC"/>
    <w:rsid w:val="006E5C6B"/>
    <w:rsid w:val="006E5EEB"/>
    <w:rsid w:val="007140D7"/>
    <w:rsid w:val="00721117"/>
    <w:rsid w:val="00727B3F"/>
    <w:rsid w:val="00740566"/>
    <w:rsid w:val="00752240"/>
    <w:rsid w:val="007577C2"/>
    <w:rsid w:val="007836BB"/>
    <w:rsid w:val="007C4EAE"/>
    <w:rsid w:val="008020B2"/>
    <w:rsid w:val="00824624"/>
    <w:rsid w:val="00836AAC"/>
    <w:rsid w:val="00837428"/>
    <w:rsid w:val="00844FDA"/>
    <w:rsid w:val="00861EC1"/>
    <w:rsid w:val="00885669"/>
    <w:rsid w:val="008A20B1"/>
    <w:rsid w:val="008C1864"/>
    <w:rsid w:val="008E3D86"/>
    <w:rsid w:val="00907872"/>
    <w:rsid w:val="0092600C"/>
    <w:rsid w:val="009443F7"/>
    <w:rsid w:val="009467E2"/>
    <w:rsid w:val="00956C43"/>
    <w:rsid w:val="00963C80"/>
    <w:rsid w:val="009D4F74"/>
    <w:rsid w:val="009D684D"/>
    <w:rsid w:val="009F1430"/>
    <w:rsid w:val="00A115EF"/>
    <w:rsid w:val="00A25C4C"/>
    <w:rsid w:val="00A60DE0"/>
    <w:rsid w:val="00A61598"/>
    <w:rsid w:val="00A847E6"/>
    <w:rsid w:val="00AE063C"/>
    <w:rsid w:val="00B50C29"/>
    <w:rsid w:val="00B565BA"/>
    <w:rsid w:val="00B65702"/>
    <w:rsid w:val="00BA0E99"/>
    <w:rsid w:val="00BA7BA4"/>
    <w:rsid w:val="00C02C3B"/>
    <w:rsid w:val="00C053B8"/>
    <w:rsid w:val="00C43241"/>
    <w:rsid w:val="00C55687"/>
    <w:rsid w:val="00C676EA"/>
    <w:rsid w:val="00CA2CFF"/>
    <w:rsid w:val="00CC121D"/>
    <w:rsid w:val="00CD5513"/>
    <w:rsid w:val="00CF6547"/>
    <w:rsid w:val="00D5329B"/>
    <w:rsid w:val="00D71F6E"/>
    <w:rsid w:val="00DB5BDF"/>
    <w:rsid w:val="00DC5E39"/>
    <w:rsid w:val="00DE3F17"/>
    <w:rsid w:val="00E54C19"/>
    <w:rsid w:val="00E61BE6"/>
    <w:rsid w:val="00E634F0"/>
    <w:rsid w:val="00EA5CCA"/>
    <w:rsid w:val="00EB1D81"/>
    <w:rsid w:val="00EB60AE"/>
    <w:rsid w:val="00EC0D42"/>
    <w:rsid w:val="00EC1B4F"/>
    <w:rsid w:val="00EC73C7"/>
    <w:rsid w:val="00ED2815"/>
    <w:rsid w:val="00F00ABD"/>
    <w:rsid w:val="00F035F8"/>
    <w:rsid w:val="00F07C4B"/>
    <w:rsid w:val="00F51075"/>
    <w:rsid w:val="00F73278"/>
    <w:rsid w:val="00F8100E"/>
    <w:rsid w:val="00F90FB1"/>
    <w:rsid w:val="00FB3D72"/>
    <w:rsid w:val="00FD3962"/>
    <w:rsid w:val="00FD3A76"/>
    <w:rsid w:val="03820F4E"/>
    <w:rsid w:val="04622EE2"/>
    <w:rsid w:val="0B232A74"/>
    <w:rsid w:val="10345524"/>
    <w:rsid w:val="13367C82"/>
    <w:rsid w:val="1A396A26"/>
    <w:rsid w:val="23CC1FF1"/>
    <w:rsid w:val="265D345B"/>
    <w:rsid w:val="28210F07"/>
    <w:rsid w:val="30745394"/>
    <w:rsid w:val="30F73365"/>
    <w:rsid w:val="32B249AE"/>
    <w:rsid w:val="33FD7B52"/>
    <w:rsid w:val="35C33650"/>
    <w:rsid w:val="3A96472B"/>
    <w:rsid w:val="41E62989"/>
    <w:rsid w:val="4416C557"/>
    <w:rsid w:val="4A4517B4"/>
    <w:rsid w:val="4AB27A19"/>
    <w:rsid w:val="4C5948D2"/>
    <w:rsid w:val="4C8979A3"/>
    <w:rsid w:val="59564420"/>
    <w:rsid w:val="5B031EA1"/>
    <w:rsid w:val="6B9597A7"/>
    <w:rsid w:val="75A7F6DC"/>
    <w:rsid w:val="7764207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Arial" w:hAnsi="Arial" w:eastAsia="Arial" w:cs="Arial"/>
      <w:sz w:val="21"/>
      <w:szCs w:val="21"/>
      <w:lang w:val="en-GB" w:eastAsia="en-GB" w:bidi="ar-SA"/>
    </w:rPr>
  </w:style>
  <w:style w:type="paragraph" w:styleId="2">
    <w:name w:val="heading 1"/>
    <w:qFormat/>
    <w:uiPriority w:val="9"/>
    <w:pPr>
      <w:spacing w:before="360" w:after="160"/>
      <w:outlineLvl w:val="0"/>
    </w:pPr>
    <w:rPr>
      <w:rFonts w:ascii="Arial" w:hAnsi="Arial" w:eastAsia="Arial" w:cs="Arial"/>
      <w:b/>
      <w:bCs/>
      <w:color w:val="1F3864"/>
      <w:sz w:val="28"/>
      <w:szCs w:val="28"/>
      <w:lang w:val="en-GB" w:eastAsia="en-GB" w:bidi="ar-SA"/>
    </w:rPr>
  </w:style>
  <w:style w:type="paragraph" w:styleId="3">
    <w:name w:val="heading 2"/>
    <w:unhideWhenUsed/>
    <w:qFormat/>
    <w:uiPriority w:val="9"/>
    <w:pPr>
      <w:spacing w:before="260" w:after="120"/>
      <w:outlineLvl w:val="1"/>
    </w:pPr>
    <w:rPr>
      <w:rFonts w:ascii="Arial" w:hAnsi="Arial" w:eastAsia="Arial" w:cs="Arial"/>
      <w:b/>
      <w:bCs/>
      <w:color w:val="1F3864"/>
      <w:sz w:val="24"/>
      <w:szCs w:val="24"/>
      <w:lang w:val="en-GB" w:eastAsia="en-GB" w:bidi="ar-SA"/>
    </w:rPr>
  </w:style>
  <w:style w:type="paragraph" w:styleId="4">
    <w:name w:val="heading 3"/>
    <w:unhideWhenUsed/>
    <w:qFormat/>
    <w:uiPriority w:val="9"/>
    <w:pPr>
      <w:spacing w:before="200" w:after="80"/>
      <w:outlineLvl w:val="2"/>
    </w:pPr>
    <w:rPr>
      <w:rFonts w:ascii="Arial" w:hAnsi="Arial" w:eastAsia="Arial" w:cs="Arial"/>
      <w:b/>
      <w:bCs/>
      <w:color w:val="333333"/>
      <w:sz w:val="22"/>
      <w:szCs w:val="22"/>
      <w:lang w:val="en-GB" w:eastAsia="en-GB" w:bidi="ar-SA"/>
    </w:rPr>
  </w:style>
  <w:style w:type="paragraph" w:styleId="5">
    <w:name w:val="heading 4"/>
    <w:semiHidden/>
    <w:unhideWhenUsed/>
    <w:qFormat/>
    <w:uiPriority w:val="9"/>
    <w:pPr>
      <w:outlineLvl w:val="3"/>
    </w:pPr>
    <w:rPr>
      <w:rFonts w:ascii="Arial" w:hAnsi="Arial" w:eastAsia="Arial" w:cs="Arial"/>
      <w:i/>
      <w:iCs/>
      <w:color w:val="2E74B5"/>
      <w:sz w:val="21"/>
      <w:szCs w:val="21"/>
      <w:lang w:val="en-GB" w:eastAsia="en-GB" w:bidi="ar-SA"/>
    </w:rPr>
  </w:style>
  <w:style w:type="paragraph" w:styleId="6">
    <w:name w:val="heading 5"/>
    <w:semiHidden/>
    <w:unhideWhenUsed/>
    <w:qFormat/>
    <w:uiPriority w:val="9"/>
    <w:pPr>
      <w:outlineLvl w:val="4"/>
    </w:pPr>
    <w:rPr>
      <w:rFonts w:ascii="Arial" w:hAnsi="Arial" w:eastAsia="Arial" w:cs="Arial"/>
      <w:color w:val="2E74B5"/>
      <w:sz w:val="21"/>
      <w:szCs w:val="21"/>
      <w:lang w:val="en-GB" w:eastAsia="en-GB" w:bidi="ar-SA"/>
    </w:rPr>
  </w:style>
  <w:style w:type="paragraph" w:styleId="7">
    <w:name w:val="heading 6"/>
    <w:semiHidden/>
    <w:unhideWhenUsed/>
    <w:qFormat/>
    <w:uiPriority w:val="9"/>
    <w:pPr>
      <w:outlineLvl w:val="5"/>
    </w:pPr>
    <w:rPr>
      <w:rFonts w:ascii="Arial" w:hAnsi="Arial" w:eastAsia="Arial" w:cs="Arial"/>
      <w:color w:val="1F4D78"/>
      <w:sz w:val="21"/>
      <w:szCs w:val="21"/>
      <w:lang w:val="en-GB" w:eastAsia="en-GB" w:bidi="ar-SA"/>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29"/>
    <w:semiHidden/>
    <w:unhideWhenUsed/>
    <w:qFormat/>
    <w:uiPriority w:val="99"/>
    <w:rPr>
      <w:rFonts w:ascii="Segoe UI" w:hAnsi="Segoe UI" w:cs="Segoe UI"/>
      <w:sz w:val="18"/>
      <w:szCs w:val="18"/>
    </w:rPr>
  </w:style>
  <w:style w:type="character" w:styleId="11">
    <w:name w:val="annotation reference"/>
    <w:basedOn w:val="8"/>
    <w:semiHidden/>
    <w:unhideWhenUsed/>
    <w:qFormat/>
    <w:uiPriority w:val="99"/>
    <w:rPr>
      <w:sz w:val="16"/>
      <w:szCs w:val="16"/>
    </w:rPr>
  </w:style>
  <w:style w:type="paragraph" w:styleId="12">
    <w:name w:val="annotation text"/>
    <w:basedOn w:val="1"/>
    <w:link w:val="31"/>
    <w:unhideWhenUsed/>
    <w:qFormat/>
    <w:uiPriority w:val="99"/>
    <w:rPr>
      <w:sz w:val="20"/>
      <w:szCs w:val="20"/>
    </w:rPr>
  </w:style>
  <w:style w:type="paragraph" w:styleId="13">
    <w:name w:val="annotation subject"/>
    <w:basedOn w:val="12"/>
    <w:next w:val="12"/>
    <w:link w:val="32"/>
    <w:semiHidden/>
    <w:unhideWhenUsed/>
    <w:qFormat/>
    <w:uiPriority w:val="99"/>
    <w:rPr>
      <w:b/>
      <w:bCs/>
    </w:rPr>
  </w:style>
  <w:style w:type="character" w:styleId="14">
    <w:name w:val="endnote reference"/>
    <w:semiHidden/>
    <w:unhideWhenUsed/>
    <w:qFormat/>
    <w:uiPriority w:val="99"/>
    <w:rPr>
      <w:vertAlign w:val="superscript"/>
    </w:rPr>
  </w:style>
  <w:style w:type="paragraph" w:styleId="15">
    <w:name w:val="endnote text"/>
    <w:link w:val="26"/>
    <w:semiHidden/>
    <w:unhideWhenUsed/>
    <w:qFormat/>
    <w:uiPriority w:val="99"/>
    <w:rPr>
      <w:rFonts w:ascii="Arial" w:hAnsi="Arial" w:eastAsia="Arial" w:cs="Arial"/>
      <w:lang w:val="en-GB" w:eastAsia="en-GB" w:bidi="ar-SA"/>
    </w:rPr>
  </w:style>
  <w:style w:type="paragraph" w:styleId="16">
    <w:name w:val="footer"/>
    <w:basedOn w:val="1"/>
    <w:link w:val="28"/>
    <w:unhideWhenUsed/>
    <w:qFormat/>
    <w:uiPriority w:val="99"/>
    <w:pPr>
      <w:tabs>
        <w:tab w:val="center" w:pos="4513"/>
        <w:tab w:val="right" w:pos="9026"/>
      </w:tabs>
    </w:pPr>
  </w:style>
  <w:style w:type="character" w:styleId="17">
    <w:name w:val="footnote reference"/>
    <w:semiHidden/>
    <w:unhideWhenUsed/>
    <w:qFormat/>
    <w:uiPriority w:val="99"/>
    <w:rPr>
      <w:vertAlign w:val="superscript"/>
    </w:rPr>
  </w:style>
  <w:style w:type="paragraph" w:styleId="18">
    <w:name w:val="footnote text"/>
    <w:link w:val="25"/>
    <w:semiHidden/>
    <w:unhideWhenUsed/>
    <w:qFormat/>
    <w:uiPriority w:val="99"/>
    <w:rPr>
      <w:rFonts w:ascii="Arial" w:hAnsi="Arial" w:eastAsia="Arial" w:cs="Arial"/>
      <w:lang w:val="en-GB" w:eastAsia="en-GB" w:bidi="ar-SA"/>
    </w:rPr>
  </w:style>
  <w:style w:type="paragraph" w:styleId="19">
    <w:name w:val="header"/>
    <w:basedOn w:val="1"/>
    <w:link w:val="27"/>
    <w:unhideWhenUsed/>
    <w:qFormat/>
    <w:uiPriority w:val="99"/>
    <w:pPr>
      <w:tabs>
        <w:tab w:val="center" w:pos="4513"/>
        <w:tab w:val="right" w:pos="9026"/>
      </w:tabs>
    </w:pPr>
  </w:style>
  <w:style w:type="character" w:styleId="20">
    <w:name w:val="Hyperlink"/>
    <w:unhideWhenUsed/>
    <w:qFormat/>
    <w:uiPriority w:val="99"/>
    <w:rPr>
      <w:color w:val="0563C1"/>
      <w:u w:val="single"/>
    </w:rPr>
  </w:style>
  <w:style w:type="character" w:styleId="21">
    <w:name w:val="Strong"/>
    <w:basedOn w:val="8"/>
    <w:qFormat/>
    <w:uiPriority w:val="22"/>
    <w:rPr>
      <w:b/>
      <w:bCs/>
    </w:rPr>
  </w:style>
  <w:style w:type="paragraph" w:styleId="22">
    <w:name w:val="Title"/>
    <w:qFormat/>
    <w:uiPriority w:val="10"/>
    <w:rPr>
      <w:rFonts w:ascii="Arial" w:hAnsi="Arial" w:eastAsia="Arial" w:cs="Arial"/>
      <w:sz w:val="56"/>
      <w:szCs w:val="56"/>
      <w:lang w:val="en-GB" w:eastAsia="en-GB" w:bidi="ar-SA"/>
    </w:rPr>
  </w:style>
  <w:style w:type="paragraph" w:customStyle="1" w:styleId="23">
    <w:name w:val="Strong1"/>
    <w:qFormat/>
    <w:uiPriority w:val="0"/>
    <w:rPr>
      <w:rFonts w:ascii="Arial" w:hAnsi="Arial" w:eastAsia="Arial" w:cs="Arial"/>
      <w:b/>
      <w:bCs/>
      <w:sz w:val="21"/>
      <w:szCs w:val="21"/>
      <w:lang w:val="en-GB" w:eastAsia="en-GB" w:bidi="ar-SA"/>
    </w:rPr>
  </w:style>
  <w:style w:type="paragraph" w:styleId="24">
    <w:name w:val="List Paragraph"/>
    <w:qFormat/>
    <w:uiPriority w:val="0"/>
    <w:rPr>
      <w:rFonts w:ascii="Arial" w:hAnsi="Arial" w:eastAsia="Arial" w:cs="Arial"/>
      <w:sz w:val="21"/>
      <w:szCs w:val="21"/>
      <w:lang w:val="en-GB" w:eastAsia="en-GB" w:bidi="ar-SA"/>
    </w:rPr>
  </w:style>
  <w:style w:type="character" w:customStyle="1" w:styleId="25">
    <w:name w:val="Fußnotentext Zchn"/>
    <w:link w:val="18"/>
    <w:semiHidden/>
    <w:unhideWhenUsed/>
    <w:qFormat/>
    <w:uiPriority w:val="99"/>
    <w:rPr>
      <w:sz w:val="20"/>
      <w:szCs w:val="20"/>
    </w:rPr>
  </w:style>
  <w:style w:type="character" w:customStyle="1" w:styleId="26">
    <w:name w:val="Endnotentext Zchn"/>
    <w:link w:val="15"/>
    <w:semiHidden/>
    <w:unhideWhenUsed/>
    <w:qFormat/>
    <w:uiPriority w:val="99"/>
    <w:rPr>
      <w:sz w:val="20"/>
      <w:szCs w:val="20"/>
    </w:rPr>
  </w:style>
  <w:style w:type="character" w:customStyle="1" w:styleId="27">
    <w:name w:val="Kopfzeile Zchn"/>
    <w:basedOn w:val="8"/>
    <w:link w:val="19"/>
    <w:qFormat/>
    <w:uiPriority w:val="99"/>
  </w:style>
  <w:style w:type="character" w:customStyle="1" w:styleId="28">
    <w:name w:val="Fußzeile Zchn"/>
    <w:basedOn w:val="8"/>
    <w:link w:val="16"/>
    <w:qFormat/>
    <w:uiPriority w:val="99"/>
  </w:style>
  <w:style w:type="character" w:customStyle="1" w:styleId="29">
    <w:name w:val="Sprechblasentext Zchn"/>
    <w:basedOn w:val="8"/>
    <w:link w:val="10"/>
    <w:semiHidden/>
    <w:qFormat/>
    <w:uiPriority w:val="99"/>
    <w:rPr>
      <w:rFonts w:ascii="Segoe UI" w:hAnsi="Segoe UI" w:cs="Segoe UI"/>
      <w:sz w:val="18"/>
      <w:szCs w:val="18"/>
    </w:rPr>
  </w:style>
  <w:style w:type="paragraph" w:customStyle="1" w:styleId="30">
    <w:name w:val="Revision"/>
    <w:hidden/>
    <w:unhideWhenUsed/>
    <w:qFormat/>
    <w:uiPriority w:val="99"/>
    <w:rPr>
      <w:rFonts w:ascii="Arial" w:hAnsi="Arial" w:eastAsia="Arial" w:cs="Arial"/>
      <w:sz w:val="21"/>
      <w:szCs w:val="21"/>
      <w:lang w:val="en-GB" w:eastAsia="en-GB" w:bidi="ar-SA"/>
    </w:rPr>
  </w:style>
  <w:style w:type="character" w:customStyle="1" w:styleId="31">
    <w:name w:val="Kommentartext Zchn"/>
    <w:basedOn w:val="8"/>
    <w:link w:val="12"/>
    <w:qFormat/>
    <w:uiPriority w:val="99"/>
    <w:rPr>
      <w:lang w:val="en-GB" w:eastAsia="en-GB"/>
    </w:rPr>
  </w:style>
  <w:style w:type="character" w:customStyle="1" w:styleId="32">
    <w:name w:val="Kommentarthema Zchn"/>
    <w:basedOn w:val="31"/>
    <w:link w:val="13"/>
    <w:semiHidden/>
    <w:qFormat/>
    <w:uiPriority w:val="99"/>
    <w:rPr>
      <w:b/>
      <w:bCs/>
      <w:lang w:val="en-GB" w:eastAsia="en-G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6f44cd1-7b33-4fc1-905c-b5d226417558" xsi:nil="true"/>
    <lcf76f155ced4ddcb4097134ff3c332f xmlns="efd51c23-9750-45b2-b644-eba4ced68d08">
      <Terms xmlns="http://schemas.microsoft.com/office/infopath/2007/PartnerControls"/>
    </lcf76f155ced4ddcb4097134ff3c332f>
    <LinkToDocument xmlns="efd51c23-9750-45b2-b644-eba4ced68d08">
      <Url xsi:nil="true"/>
      <Description xsi:nil="true"/>
    </LinkToDocument>
    <TargetLibrary xmlns="efd51c23-9750-45b2-b644-eba4ced68d08" xsi:nil="true"/>
    <Types xmlns="efd51c23-9750-45b2-b644-eba4ced68d08" xsi:nil="true"/>
    <Year xmlns="efd51c23-9750-45b2-b644-eba4ced68d08" xsi:nil="true"/>
    <CopyComment xmlns="efd51c23-9750-45b2-b644-eba4ced68d08" xsi:nil="true"/>
    <Status xmlns="efd51c23-9750-45b2-b644-eba4ced68d08" xsi:nil="true"/>
    <CopyToPartnerPlattfrom xmlns="efd51c23-9750-45b2-b644-eba4ced68d08">false</CopyToPartnerPlattfrom>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218F620611DD49845DC97CF1912748" ma:contentTypeVersion="33" ma:contentTypeDescription="Create a new document." ma:contentTypeScope="" ma:versionID="a8768aefa1400ffddd63c5af5b33386e">
  <xsd:schema xmlns:xsd="http://www.w3.org/2001/XMLSchema" xmlns:xs="http://www.w3.org/2001/XMLSchema" xmlns:p="http://schemas.microsoft.com/office/2006/metadata/properties" xmlns:ns2="efd51c23-9750-45b2-b644-eba4ced68d08" xmlns:ns3="76f44cd1-7b33-4fc1-905c-b5d226417558" targetNamespace="http://schemas.microsoft.com/office/2006/metadata/properties" ma:root="true" ma:fieldsID="464375113217064fd82acad02a05a010" ns2:_="" ns3:_="">
    <xsd:import namespace="efd51c23-9750-45b2-b644-eba4ced68d08"/>
    <xsd:import namespace="76f44cd1-7b33-4fc1-905c-b5d226417558"/>
    <xsd:element name="properties">
      <xsd:complexType>
        <xsd:sequence>
          <xsd:element name="documentManagement">
            <xsd:complexType>
              <xsd:all>
                <xsd:element ref="ns2:Year" minOccurs="0"/>
                <xsd:element ref="ns2:Types" minOccurs="0"/>
                <xsd:element ref="ns2:TargetLibrary" minOccurs="0"/>
                <xsd:element ref="ns2:CopyToPartnerPlattfrom" minOccurs="0"/>
                <xsd:element ref="ns2:Status" minOccurs="0"/>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lcf76f155ced4ddcb4097134ff3c332f" minOccurs="0"/>
                <xsd:element ref="ns3:TaxCatchAll" minOccurs="0"/>
                <xsd:element ref="ns2:CopyComment" minOccurs="0"/>
                <xsd:element ref="ns2:LinkToDocument"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51c23-9750-45b2-b644-eba4ced68d08" elementFormDefault="qualified">
    <xsd:import namespace="http://schemas.microsoft.com/office/2006/documentManagement/types"/>
    <xsd:import namespace="http://schemas.microsoft.com/office/infopath/2007/PartnerControls"/>
    <xsd:element name="Year" ma:index="2" nillable="true" ma:displayName="Year" ma:format="Dropdown" ma:internalName="Year" ma:readOnly="false" ma:percentage="FALSE">
      <xsd:simpleType>
        <xsd:restriction base="dms:Number"/>
      </xsd:simpleType>
    </xsd:element>
    <xsd:element name="Types" ma:index="3" nillable="true" ma:displayName="Types" ma:format="Dropdown" ma:internalName="Types">
      <xsd:simpleType>
        <xsd:restriction base="dms:Choice">
          <xsd:enumeration value="Contract"/>
          <xsd:enumeration value="Reporting"/>
          <xsd:enumeration value="Pictures"/>
          <xsd:enumeration value="Timetable"/>
          <xsd:enumeration value="Information"/>
        </xsd:restriction>
      </xsd:simpleType>
    </xsd:element>
    <xsd:element name="TargetLibrary" ma:index="4" nillable="true" ma:displayName="TargetLibrary" ma:format="Dropdown" ma:internalName="TargetLibrary" ma:readOnly="false">
      <xsd:simpleType>
        <xsd:restriction base="dms:Choice">
          <xsd:enumeration value="PATRIZIA Aftercare Hamburg"/>
          <xsd:enumeration value="PATRIZIA Aftercare München"/>
          <xsd:enumeration value="PATRIZIA Child Care Govindpur, India"/>
          <xsd:enumeration value="PATRIZIA Child Care Porayar"/>
          <xsd:enumeration value="PATRIZIA Child Care Western Cape"/>
          <xsd:enumeration value="PATRIZIA Child Therapy Augsburg"/>
          <xsd:enumeration value="PATRIZIA Childcare Augsburg"/>
          <xsd:enumeration value="PATRIZIA Childcare Songea"/>
          <xsd:enumeration value="PATRIZIA Children Hospital Peramiho"/>
          <xsd:enumeration value="PATRIZIA Children's Hospital"/>
          <xsd:enumeration value="PATRIZIA Primary School Dhoksan, Nepal"/>
          <xsd:enumeration value="PATRIZIA Primary School Songea"/>
          <xsd:enumeration value="PATRIZIA School Buyamba"/>
          <xsd:enumeration value="PATRIZIA School Harare"/>
          <xsd:enumeration value="PATRIZIA School Sondoveni"/>
          <xsd:enumeration value="PATRIZIA School Syangeni"/>
          <xsd:enumeration value="PATRIZIA School Yaoundé"/>
          <xsd:enumeration value="PATRIZIA Secondary School for Girls Peramiho"/>
          <xsd:enumeration value="PATRIZIA Vocational Training Center Alego"/>
          <xsd:enumeration value="PATRIZIA -Vocational- Training- Ntarama"/>
          <xsd:enumeration value="PATRIZIA Child Care Mymensingh"/>
          <xsd:enumeration value="PATRIZIA Primary School Ndanda"/>
        </xsd:restriction>
      </xsd:simpleType>
    </xsd:element>
    <xsd:element name="CopyToPartnerPlattfrom" ma:index="5" nillable="true" ma:displayName="Copy to my.PATRIZIA.Foundation" ma:default="0" ma:internalName="CopyToPartnerPlattfrom" ma:readOnly="false">
      <xsd:simpleType>
        <xsd:restriction base="dms:Boolean"/>
      </xsd:simpleType>
    </xsd:element>
    <xsd:element name="Status" ma:index="6" nillable="true" ma:displayName="Status" ma:format="Dropdown" ma:hidden="true" ma:internalName="Status" ma:readOnly="false">
      <xsd:simpleType>
        <xsd:restriction base="dms:Choice">
          <xsd:enumeration value="Being copied"/>
          <xsd:enumeration value="Copi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hidden="true"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hidden="true" ma:internalName="MediaServiceKeyPoints" ma:readOnly="true">
      <xsd:simpleType>
        <xsd:restriction base="dms:Note"/>
      </xsd:simpleType>
    </xsd:element>
    <xsd:element name="MediaServiceOCR" ma:index="19" nillable="true" ma:displayName="Extracted Text" ma:hidden="true" ma:internalName="MediaServiceOCR" ma:readOnly="true">
      <xsd:simpleType>
        <xsd:restriction base="dms:Note"/>
      </xsd:simpleType>
    </xsd:element>
    <xsd:element name="MediaServiceLocation" ma:index="20" nillable="true" ma:displayName="Location" ma:hidden="true"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42d6450-08b9-4212-93a4-8d3a906e9b87" ma:termSetId="09814cd3-568e-fe90-9814-8d621ff8fb84" ma:anchorId="fba54fb3-c3e1-fe81-a776-ca4b69148c4d" ma:open="true" ma:isKeyword="false">
      <xsd:complexType>
        <xsd:sequence>
          <xsd:element ref="pc:Terms" minOccurs="0" maxOccurs="1"/>
        </xsd:sequence>
      </xsd:complexType>
    </xsd:element>
    <xsd:element name="CopyComment" ma:index="27" nillable="true" ma:displayName="Copy Comment" ma:description="entered by system" ma:hidden="true" ma:internalName="CopyComment" ma:readOnly="false">
      <xsd:simpleType>
        <xsd:restriction base="dms:Note"/>
      </xsd:simpleType>
    </xsd:element>
    <xsd:element name="LinkToDocument" ma:index="28" nillable="true" ma:displayName="LinkToDocument" ma:description="entered by system" ma:format="Hyperlink" ma:hidden="true" ma:internalName="LinkToDocument"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31" nillable="true" ma:displayName="MediaServiceObjectDetectorVersions" ma:hidden="true" ma:indexed="true" ma:internalName="MediaServiceObjectDetectorVersions" ma:readOnly="true">
      <xsd:simpleType>
        <xsd:restriction base="dms:Text"/>
      </xsd:simpleType>
    </xsd:element>
    <xsd:element name="MediaServiceSearchProperties" ma:index="32" nillable="true" ma:displayName="MediaServiceSearchProperties" ma:hidden="true" ma:internalName="MediaServiceSearchProperties" ma:readOnly="true">
      <xsd:simpleType>
        <xsd:restriction base="dms:Note"/>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6f44cd1-7b33-4fc1-905c-b5d226417558" elementFormDefault="qualified">
    <xsd:import namespace="http://schemas.microsoft.com/office/2006/documentManagement/types"/>
    <xsd:import namespace="http://schemas.microsoft.com/office/infopath/2007/PartnerControls"/>
    <xsd:element name="SharedWithUsers" ma:index="1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2c699439-8ed0-4010-ac98-34ba3a8d74d8}" ma:internalName="TaxCatchAll" ma:readOnly="false" ma:showField="CatchAllData" ma:web="76f44cd1-7b33-4fc1-905c-b5d226417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16E1D8-47A3-45F9-9C53-6A64FB4EF6BC}">
  <ds:schemaRefs/>
</ds:datastoreItem>
</file>

<file path=customXml/itemProps2.xml><?xml version="1.0" encoding="utf-8"?>
<ds:datastoreItem xmlns:ds="http://schemas.openxmlformats.org/officeDocument/2006/customXml" ds:itemID="{7C5B48DD-9160-465B-88D2-4915A4ED6C85}">
  <ds:schemaRefs/>
</ds:datastoreItem>
</file>

<file path=customXml/itemProps3.xml><?xml version="1.0" encoding="utf-8"?>
<ds:datastoreItem xmlns:ds="http://schemas.openxmlformats.org/officeDocument/2006/customXml" ds:itemID="{3E3A51B1-E93E-4E85-A3F5-7D778D26E860}">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1814</Words>
  <Characters>13191</Characters>
  <Lines>235</Lines>
  <Paragraphs>115</Paragraphs>
  <TotalTime>7</TotalTime>
  <ScaleCrop>false</ScaleCrop>
  <LinksUpToDate>false</LinksUpToDate>
  <CharactersWithSpaces>14907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2026-08-07T15:14:00Z</dcterms:created>
  <dc:creator>RENEW</dc:creator>
  <cp:lastModifiedBy>Dell</cp:lastModifiedBy>
  <cp:lastPrinted>2026-07-17T07:05:00Z</cp:lastPrinted>
  <dcterms:modified xsi:type="dcterms:W3CDTF">2026-08-10T08:11:48Z</dcterms:modified>
  <dc:subject>Publication-ready recruitment document</dc:subject>
  <dc:title>Terms of Reference - Project Manager, VTCB</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0x010100D0218F620611DD49845DC97CF1912748</vt:lpwstr>
  </property>
  <property fmtid="{D5CDD505-2E9C-101B-9397-08002B2CF9AE}" pid="3" name="MediaServiceImageTags">
    <vt:lpwstr/>
  </property>
  <property fmtid="{D5CDD505-2E9C-101B-9397-08002B2CF9AE}" pid="4" name="KSOProductBuildVer">
    <vt:lpwstr>1033-12.1.0.28032</vt:lpwstr>
  </property>
  <property fmtid="{D5CDD505-2E9C-101B-9397-08002B2CF9AE}" pid="5" name="ICV">
    <vt:lpwstr>0026E567183A4D7D97D37C76348C12EF_13</vt:lpwstr>
  </property>
  <property fmtid="{D5CDD505-2E9C-101B-9397-08002B2CF9AE}" pid="6" name="KSOTemplateDocerSaveRecord">
    <vt:lpwstr>eyJoZGlkIjoiYTRlNmY5ZTk2YThlZjRhNDZkNDRiMzM4N2NhNjRlMTcifQ==</vt:lpwstr>
  </property>
  <property fmtid="{D5CDD505-2E9C-101B-9397-08002B2CF9AE}" pid="7" name="docLang">
    <vt:lpwstr>en</vt:lpwstr>
  </property>
</Properties>
</file>